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ACC" w:rsidRDefault="000E4511" w:rsidP="00415ACC">
      <w:pPr>
        <w:tabs>
          <w:tab w:val="left" w:pos="9070"/>
        </w:tabs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ИЗУЧЕНИЕ ЧУВСТВИТЕЛЬН</w:t>
      </w:r>
      <w:r w:rsidR="00415ACC">
        <w:rPr>
          <w:b/>
          <w:sz w:val="32"/>
          <w:szCs w:val="32"/>
        </w:rPr>
        <w:t>ОСТИ ФУНКЦИОНАЛЬНОГО ЭПОКСИД-ПОЛИЭЛЕКТРОЛИТНО</w:t>
      </w:r>
      <w:r>
        <w:rPr>
          <w:b/>
          <w:sz w:val="32"/>
          <w:szCs w:val="32"/>
        </w:rPr>
        <w:t>ГО СЛОЯ ПРИ МОДИФИКАЦИИ ПОЛИАНИ</w:t>
      </w:r>
      <w:r w:rsidR="00415ACC">
        <w:rPr>
          <w:b/>
          <w:sz w:val="32"/>
          <w:szCs w:val="32"/>
        </w:rPr>
        <w:t>ЛИНОМ</w:t>
      </w:r>
    </w:p>
    <w:p w:rsidR="00415ACC" w:rsidRPr="0030479C" w:rsidRDefault="00415ACC" w:rsidP="00415ACC">
      <w:pPr>
        <w:tabs>
          <w:tab w:val="left" w:pos="9070"/>
        </w:tabs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Коваль Т.В., Курганский М.А., Петр</w:t>
      </w:r>
      <w:r w:rsidRPr="00BC0CC9">
        <w:rPr>
          <w:sz w:val="32"/>
          <w:szCs w:val="32"/>
        </w:rPr>
        <w:t>ов Н.Н.</w:t>
      </w:r>
    </w:p>
    <w:p w:rsidR="00415ACC" w:rsidRPr="0030479C" w:rsidRDefault="00415ACC" w:rsidP="00415ACC">
      <w:pPr>
        <w:contextualSpacing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ФГБОУ ВПО «</w:t>
      </w:r>
      <w:proofErr w:type="spellStart"/>
      <w:r>
        <w:rPr>
          <w:i/>
          <w:sz w:val="32"/>
          <w:szCs w:val="32"/>
        </w:rPr>
        <w:t>КубГУ</w:t>
      </w:r>
      <w:proofErr w:type="spellEnd"/>
      <w:r>
        <w:rPr>
          <w:i/>
          <w:sz w:val="32"/>
          <w:szCs w:val="32"/>
        </w:rPr>
        <w:t>»,</w:t>
      </w:r>
      <w:r w:rsidRPr="0030479C">
        <w:rPr>
          <w:i/>
          <w:sz w:val="32"/>
          <w:szCs w:val="32"/>
        </w:rPr>
        <w:t xml:space="preserve"> г. </w:t>
      </w:r>
      <w:r>
        <w:rPr>
          <w:i/>
          <w:sz w:val="32"/>
          <w:szCs w:val="32"/>
        </w:rPr>
        <w:t>Краснодар</w:t>
      </w:r>
    </w:p>
    <w:p w:rsidR="00415ACC" w:rsidRPr="000E4511" w:rsidRDefault="001D670B" w:rsidP="00415ACC">
      <w:pPr>
        <w:contextualSpacing/>
        <w:jc w:val="center"/>
        <w:rPr>
          <w:i/>
          <w:sz w:val="32"/>
          <w:szCs w:val="32"/>
        </w:rPr>
      </w:pPr>
      <w:hyperlink r:id="rId4" w:history="1">
        <w:r w:rsidR="00415ACC" w:rsidRPr="00C723E8">
          <w:rPr>
            <w:rStyle w:val="a3"/>
            <w:i/>
            <w:sz w:val="32"/>
            <w:szCs w:val="32"/>
            <w:lang w:val="en-US"/>
          </w:rPr>
          <w:t>nikpetro</w:t>
        </w:r>
        <w:r w:rsidR="00415ACC" w:rsidRPr="00C723E8">
          <w:rPr>
            <w:rStyle w:val="a3"/>
            <w:i/>
            <w:sz w:val="32"/>
            <w:szCs w:val="32"/>
          </w:rPr>
          <w:t>@</w:t>
        </w:r>
        <w:r w:rsidR="00415ACC" w:rsidRPr="00C723E8">
          <w:rPr>
            <w:rStyle w:val="a3"/>
            <w:i/>
            <w:sz w:val="32"/>
            <w:szCs w:val="32"/>
            <w:lang w:val="en-US"/>
          </w:rPr>
          <w:t>yandex</w:t>
        </w:r>
        <w:r w:rsidR="00415ACC" w:rsidRPr="00C723E8">
          <w:rPr>
            <w:rStyle w:val="a3"/>
            <w:i/>
            <w:sz w:val="32"/>
            <w:szCs w:val="32"/>
          </w:rPr>
          <w:t>.</w:t>
        </w:r>
        <w:r w:rsidR="00415ACC" w:rsidRPr="00C723E8">
          <w:rPr>
            <w:rStyle w:val="a3"/>
            <w:i/>
            <w:sz w:val="32"/>
            <w:szCs w:val="32"/>
            <w:lang w:val="en-US"/>
          </w:rPr>
          <w:t>ru</w:t>
        </w:r>
      </w:hyperlink>
    </w:p>
    <w:p w:rsidR="00415ACC" w:rsidRPr="000E4511" w:rsidRDefault="00415ACC" w:rsidP="00415ACC">
      <w:pPr>
        <w:contextualSpacing/>
        <w:jc w:val="center"/>
        <w:rPr>
          <w:i/>
          <w:sz w:val="32"/>
          <w:szCs w:val="32"/>
        </w:rPr>
      </w:pPr>
    </w:p>
    <w:p w:rsidR="00415ACC" w:rsidRPr="00415ACC" w:rsidRDefault="00415ACC" w:rsidP="00E744DA">
      <w:pPr>
        <w:ind w:firstLine="708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Ранее нами получен функциональный сенсорный композиционный материал, проявляющий электрохимическую чувствительность к влаге и водным растворам. В данной работе описывается проведенная нами</w:t>
      </w:r>
      <w:r w:rsidRPr="000A3BA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работа по варьированию чувствительности материала при его модификации </w:t>
      </w:r>
      <w:r>
        <w:rPr>
          <w:sz w:val="32"/>
          <w:szCs w:val="32"/>
          <w:lang w:val="en-US"/>
        </w:rPr>
        <w:t>in</w:t>
      </w:r>
      <w:r w:rsidRPr="00415ACC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situ</w:t>
      </w:r>
      <w:r w:rsidRPr="00415ACC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полиани</w:t>
      </w:r>
      <w:r w:rsidR="000E4511">
        <w:rPr>
          <w:sz w:val="32"/>
          <w:szCs w:val="32"/>
        </w:rPr>
        <w:t>л</w:t>
      </w:r>
      <w:r>
        <w:rPr>
          <w:sz w:val="32"/>
          <w:szCs w:val="32"/>
        </w:rPr>
        <w:t>ином</w:t>
      </w:r>
      <w:proofErr w:type="spellEnd"/>
      <w:r>
        <w:rPr>
          <w:sz w:val="32"/>
          <w:szCs w:val="32"/>
        </w:rPr>
        <w:t>.</w:t>
      </w:r>
      <w:r w:rsidR="002710E6">
        <w:rPr>
          <w:sz w:val="32"/>
          <w:szCs w:val="32"/>
        </w:rPr>
        <w:t xml:space="preserve"> Объектом модификации служили </w:t>
      </w:r>
      <w:proofErr w:type="spellStart"/>
      <w:r w:rsidR="002710E6">
        <w:rPr>
          <w:sz w:val="32"/>
          <w:szCs w:val="32"/>
        </w:rPr>
        <w:t>микрогранулы</w:t>
      </w:r>
      <w:proofErr w:type="spellEnd"/>
      <w:r w:rsidR="002710E6">
        <w:rPr>
          <w:sz w:val="32"/>
          <w:szCs w:val="32"/>
        </w:rPr>
        <w:t xml:space="preserve"> </w:t>
      </w:r>
      <w:proofErr w:type="spellStart"/>
      <w:r w:rsidR="002710E6">
        <w:rPr>
          <w:sz w:val="32"/>
          <w:szCs w:val="32"/>
        </w:rPr>
        <w:t>сульфокатионита</w:t>
      </w:r>
      <w:proofErr w:type="spellEnd"/>
      <w:r w:rsidR="002710E6">
        <w:rPr>
          <w:sz w:val="32"/>
          <w:szCs w:val="32"/>
        </w:rPr>
        <w:t xml:space="preserve"> фракции 5-25 </w:t>
      </w:r>
      <w:proofErr w:type="gramStart"/>
      <w:r w:rsidR="002710E6">
        <w:rPr>
          <w:sz w:val="32"/>
          <w:szCs w:val="32"/>
        </w:rPr>
        <w:t>мкм</w:t>
      </w:r>
      <w:proofErr w:type="gramEnd"/>
      <w:r w:rsidR="002710E6">
        <w:rPr>
          <w:sz w:val="32"/>
          <w:szCs w:val="32"/>
        </w:rPr>
        <w:t xml:space="preserve"> введенные в последующем в эпоксидное связующее.</w:t>
      </w:r>
      <w:r>
        <w:rPr>
          <w:sz w:val="32"/>
          <w:szCs w:val="32"/>
        </w:rPr>
        <w:t xml:space="preserve"> </w:t>
      </w:r>
    </w:p>
    <w:p w:rsidR="00425C99" w:rsidRDefault="00425C99"/>
    <w:p w:rsidR="002710E6" w:rsidRDefault="002710E6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2710E6" w:rsidTr="002710E6">
        <w:tc>
          <w:tcPr>
            <w:tcW w:w="4956" w:type="dxa"/>
          </w:tcPr>
          <w:p w:rsidR="002710E6" w:rsidRPr="002710E6" w:rsidRDefault="002710E6">
            <w:pPr>
              <w:rPr>
                <w:sz w:val="28"/>
                <w:szCs w:val="28"/>
              </w:rPr>
            </w:pPr>
            <w:r w:rsidRPr="002710E6">
              <w:rPr>
                <w:noProof/>
                <w:sz w:val="28"/>
                <w:szCs w:val="28"/>
              </w:rPr>
              <w:drawing>
                <wp:inline distT="0" distB="0" distL="0" distR="0">
                  <wp:extent cx="2786063" cy="22288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1_09.t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6823" cy="2237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10E6" w:rsidRPr="002710E6" w:rsidRDefault="002710E6">
            <w:pPr>
              <w:rPr>
                <w:sz w:val="28"/>
                <w:szCs w:val="28"/>
              </w:rPr>
            </w:pPr>
          </w:p>
          <w:p w:rsidR="002710E6" w:rsidRPr="002710E6" w:rsidRDefault="002710E6">
            <w:pPr>
              <w:rPr>
                <w:sz w:val="28"/>
                <w:szCs w:val="28"/>
              </w:rPr>
            </w:pPr>
            <w:r w:rsidRPr="002710E6">
              <w:rPr>
                <w:sz w:val="28"/>
                <w:szCs w:val="28"/>
              </w:rPr>
              <w:t>А)</w:t>
            </w:r>
          </w:p>
        </w:tc>
        <w:tc>
          <w:tcPr>
            <w:tcW w:w="4956" w:type="dxa"/>
          </w:tcPr>
          <w:p w:rsidR="002710E6" w:rsidRPr="002710E6" w:rsidRDefault="002710E6">
            <w:pPr>
              <w:rPr>
                <w:sz w:val="28"/>
                <w:szCs w:val="28"/>
              </w:rPr>
            </w:pPr>
            <w:r w:rsidRPr="002710E6">
              <w:rPr>
                <w:noProof/>
                <w:sz w:val="28"/>
                <w:szCs w:val="28"/>
              </w:rPr>
              <w:drawing>
                <wp:inline distT="0" distB="0" distL="0" distR="0" wp14:anchorId="22BA59D9" wp14:editId="6215B17F">
                  <wp:extent cx="2786061" cy="22288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2_05.t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905" cy="224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10E6" w:rsidRPr="002710E6" w:rsidRDefault="002710E6">
            <w:pPr>
              <w:rPr>
                <w:sz w:val="28"/>
                <w:szCs w:val="28"/>
              </w:rPr>
            </w:pPr>
          </w:p>
          <w:p w:rsidR="002710E6" w:rsidRPr="002710E6" w:rsidRDefault="002710E6">
            <w:pPr>
              <w:rPr>
                <w:sz w:val="28"/>
                <w:szCs w:val="28"/>
              </w:rPr>
            </w:pPr>
            <w:r w:rsidRPr="002710E6">
              <w:rPr>
                <w:sz w:val="28"/>
                <w:szCs w:val="28"/>
              </w:rPr>
              <w:t>Б)</w:t>
            </w:r>
          </w:p>
        </w:tc>
      </w:tr>
    </w:tbl>
    <w:p w:rsidR="002710E6" w:rsidRDefault="002710E6"/>
    <w:p w:rsidR="002710E6" w:rsidRDefault="002710E6" w:rsidP="002710E6">
      <w:pPr>
        <w:jc w:val="both"/>
        <w:rPr>
          <w:i/>
          <w:sz w:val="32"/>
          <w:szCs w:val="32"/>
        </w:rPr>
      </w:pPr>
      <w:r w:rsidRPr="002710E6">
        <w:rPr>
          <w:i/>
          <w:sz w:val="32"/>
          <w:szCs w:val="32"/>
        </w:rPr>
        <w:t xml:space="preserve">Рис.1. Микрофотографии среза композиционных материалов: а) исходный </w:t>
      </w:r>
      <w:proofErr w:type="spellStart"/>
      <w:r w:rsidRPr="002710E6">
        <w:rPr>
          <w:i/>
          <w:sz w:val="32"/>
          <w:szCs w:val="32"/>
        </w:rPr>
        <w:t>сульфокатионит</w:t>
      </w:r>
      <w:proofErr w:type="spellEnd"/>
      <w:r w:rsidRPr="002710E6">
        <w:rPr>
          <w:i/>
          <w:sz w:val="32"/>
          <w:szCs w:val="32"/>
        </w:rPr>
        <w:t xml:space="preserve">, б) модифицированный </w:t>
      </w:r>
      <w:proofErr w:type="spellStart"/>
      <w:r w:rsidRPr="002710E6">
        <w:rPr>
          <w:i/>
          <w:sz w:val="32"/>
          <w:szCs w:val="32"/>
        </w:rPr>
        <w:t>полианилином</w:t>
      </w:r>
      <w:proofErr w:type="spellEnd"/>
      <w:r w:rsidR="00E744DA">
        <w:rPr>
          <w:i/>
          <w:sz w:val="32"/>
          <w:szCs w:val="32"/>
        </w:rPr>
        <w:t xml:space="preserve"> </w:t>
      </w:r>
      <w:proofErr w:type="spellStart"/>
      <w:r w:rsidR="00E744DA">
        <w:rPr>
          <w:i/>
          <w:sz w:val="32"/>
          <w:szCs w:val="32"/>
        </w:rPr>
        <w:t>сульфокатионит</w:t>
      </w:r>
      <w:proofErr w:type="spellEnd"/>
    </w:p>
    <w:p w:rsidR="002710E6" w:rsidRDefault="002710E6" w:rsidP="002710E6">
      <w:pPr>
        <w:jc w:val="both"/>
        <w:rPr>
          <w:sz w:val="32"/>
          <w:szCs w:val="32"/>
        </w:rPr>
      </w:pPr>
    </w:p>
    <w:p w:rsidR="00E744DA" w:rsidRDefault="002710E6" w:rsidP="00E744D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 результатам импеданс-спектроскопии образцов выявлены эффекты изменения электрохимической чувствительности </w:t>
      </w:r>
      <w:r w:rsidR="00E744DA">
        <w:rPr>
          <w:sz w:val="32"/>
          <w:szCs w:val="32"/>
        </w:rPr>
        <w:t xml:space="preserve">модифицированного </w:t>
      </w:r>
      <w:r>
        <w:rPr>
          <w:sz w:val="32"/>
          <w:szCs w:val="32"/>
        </w:rPr>
        <w:t>материала</w:t>
      </w:r>
      <w:r w:rsidR="00E744DA">
        <w:rPr>
          <w:sz w:val="32"/>
          <w:szCs w:val="32"/>
        </w:rPr>
        <w:t>.</w:t>
      </w:r>
    </w:p>
    <w:p w:rsidR="002710E6" w:rsidRPr="002710E6" w:rsidRDefault="00E744DA" w:rsidP="00E744D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Определены критическая объемная концентрация активных гранул и времена </w:t>
      </w:r>
      <w:proofErr w:type="spellStart"/>
      <w:r>
        <w:rPr>
          <w:sz w:val="32"/>
          <w:szCs w:val="32"/>
        </w:rPr>
        <w:t>перколяции</w:t>
      </w:r>
      <w:proofErr w:type="spellEnd"/>
      <w:r>
        <w:rPr>
          <w:sz w:val="32"/>
          <w:szCs w:val="32"/>
        </w:rPr>
        <w:t xml:space="preserve"> получаемых материалов, а также проведена корреляция условий модификации с их чувствительностью. </w:t>
      </w:r>
      <w:bookmarkStart w:id="0" w:name="_GoBack"/>
      <w:bookmarkEnd w:id="0"/>
      <w:r w:rsidR="002710E6">
        <w:rPr>
          <w:sz w:val="32"/>
          <w:szCs w:val="32"/>
        </w:rPr>
        <w:t xml:space="preserve"> </w:t>
      </w:r>
    </w:p>
    <w:sectPr w:rsidR="002710E6" w:rsidRPr="002710E6" w:rsidSect="00415ACC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CC"/>
    <w:rsid w:val="000E4511"/>
    <w:rsid w:val="001D670B"/>
    <w:rsid w:val="002710E6"/>
    <w:rsid w:val="00415ACC"/>
    <w:rsid w:val="00425C99"/>
    <w:rsid w:val="00E7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B219F-E37E-4EEA-BC35-2A2EA71C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AC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71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hyperlink" Target="mailto:nikpetr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2015-07-23T10:47:00Z</dcterms:created>
  <dcterms:modified xsi:type="dcterms:W3CDTF">2015-07-23T12:06:00Z</dcterms:modified>
</cp:coreProperties>
</file>