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D3" w:rsidRDefault="00B061D3" w:rsidP="00B061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М.С. Топчиев, А.П. Романова (Астрахань)</w:t>
      </w:r>
    </w:p>
    <w:p w:rsidR="00B061D3" w:rsidRDefault="00B061D3" w:rsidP="00B06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061D3" w:rsidRPr="00DA7D74" w:rsidRDefault="00B061D3" w:rsidP="00B06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A7D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Специфика коммуникаций в </w:t>
      </w:r>
      <w:proofErr w:type="spellStart"/>
      <w:r w:rsidRPr="00DA7D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гетеротопном</w:t>
      </w:r>
      <w:proofErr w:type="spellEnd"/>
      <w:r w:rsidRPr="00DA7D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пространстве: политический </w:t>
      </w:r>
      <w:proofErr w:type="gramStart"/>
      <w:r w:rsidRPr="00DA7D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  культурный</w:t>
      </w:r>
      <w:proofErr w:type="gramEnd"/>
      <w:r w:rsidRPr="00DA7D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аспекты</w:t>
      </w:r>
    </w:p>
    <w:p w:rsidR="00B061D3" w:rsidRDefault="00B061D3" w:rsidP="00B061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061D3" w:rsidRPr="00FE6049" w:rsidRDefault="00B061D3" w:rsidP="00B06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061D3" w:rsidRDefault="00B061D3" w:rsidP="00341C8D">
      <w:pPr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последнее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 терминология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М.Фуко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связанная с иными,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гетеротопными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пространствами все чаще входит в научный оборот, не только в области  исследования городского пространства, но и  всяческих других социальных пространств. Вброшенный в научный оборот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М.Фуко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термин</w:t>
      </w:r>
      <w:r w:rsidR="00341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341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C8D" w:rsidRPr="006A504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gramEnd"/>
      <w:r w:rsidR="00341C8D" w:rsidRPr="006A50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Слова и вещи.» (1966), </w:t>
      </w:r>
      <w:r w:rsidR="00341C8D" w:rsidRPr="007A6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«Другое пространство» (1984)</w:t>
      </w:r>
      <w:r w:rsidR="00341C8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последние десятилетия начинает использоваться в том числе и как методологическая основа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Pr="00C674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гуманитарных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исследований.</w:t>
      </w:r>
      <w:r w:rsidR="00341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Фуко не дает гетеротопии четкой дефиниции, он скорее описывает ее как реально существующие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пространства,  </w:t>
      </w:r>
      <w:r w:rsidRPr="007A6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эффективно</w:t>
      </w:r>
      <w:proofErr w:type="gramEnd"/>
      <w:r w:rsidRPr="007A6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действующие утопии, которые формируются в самом основании общества.</w:t>
      </w:r>
      <w:r w:rsidRPr="007A69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Фуко считал, что они   </w:t>
      </w:r>
      <w:r w:rsidRPr="007A6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представляют собой </w:t>
      </w:r>
      <w:proofErr w:type="spellStart"/>
      <w:r w:rsidRPr="007A6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контр-пространства</w:t>
      </w:r>
      <w:proofErr w:type="spellEnd"/>
      <w:r w:rsidRPr="007A6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рамках которых другие реальные места, существующие в культуре, одновременно представлены, противостоят друг другу   и перевернуты. Эти места находятся за </w:t>
      </w:r>
      <w:proofErr w:type="gramStart"/>
      <w:r w:rsidRPr="007A6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пределами  всех</w:t>
      </w:r>
      <w:proofErr w:type="gramEnd"/>
      <w:r w:rsidRPr="007A6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мест, хотя в реальности они фактически локализуемы.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5A3AA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Foucault</w:t>
      </w:r>
      <w:r w:rsidRPr="00BE2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1986</w:t>
      </w:r>
      <w:proofErr w:type="gramEnd"/>
      <w:r w:rsidRPr="007A696D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7A696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</w:t>
      </w:r>
      <w:r w:rsidRPr="007A696D">
        <w:rPr>
          <w:rFonts w:ascii="Times New Roman" w:eastAsia="Times New Roman" w:hAnsi="Times New Roman" w:cs="Times New Roman"/>
          <w:color w:val="333333"/>
          <w:sz w:val="28"/>
          <w:szCs w:val="28"/>
        </w:rPr>
        <w:t>.24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7A69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7A69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061D3" w:rsidRPr="001D772C" w:rsidRDefault="00B061D3" w:rsidP="00B061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Формат данной публикации не позволяет долго 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подробно  останавливаться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тех принципах гетеротопии, которые Фуко обозначает в этой работе, тем более что они  подробно проанализированы в зарубежной  (</w:t>
      </w:r>
      <w:proofErr w:type="spellStart"/>
      <w:r w:rsidRPr="0084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h</w:t>
      </w:r>
      <w:r w:rsidRPr="0084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iel</w:t>
      </w:r>
      <w:proofErr w:type="spellEnd"/>
      <w:r w:rsidRPr="00F57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4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Dahaene</w:t>
      </w:r>
      <w:proofErr w:type="spellEnd"/>
      <w:r w:rsidRPr="00F57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84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De</w:t>
      </w:r>
      <w:r w:rsidRPr="00F57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4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Cauter</w:t>
      </w:r>
      <w:proofErr w:type="spellEnd"/>
      <w:r w:rsidRPr="00F57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4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Lieven</w:t>
      </w:r>
      <w:proofErr w:type="spellEnd"/>
      <w:r w:rsidR="001302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2008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E59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 отечественной литературе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Якушенкова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3023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в том числе и  применительно к различным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гетеротопным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пространствам</w:t>
      </w:r>
      <w:r w:rsidRPr="001E596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Мы только перечислим их для того</w:t>
      </w:r>
      <w:r w:rsidR="0013023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чтобы  был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лучше понятен ход анализа.  Шесть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принципов  гетеротопии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Фуко включают: ее универсальность, т.е. характерность  практически для любой культуры;  гибкую функциональность, поскольку общество может заставить ее функционировать разными способами; наличие множественных пространств в одном пространстве гетеротопии; сохранение времени; наличие входа и выхода в гетеротопию; несмотря на изоляцию, способность контактировать со 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всеми другими пространствами.  </w:t>
      </w:r>
      <w:r w:rsidRPr="00076FEB">
        <w:rPr>
          <w:rFonts w:ascii="Times New Roman" w:hAnsi="Times New Roman" w:cs="Times New Roman"/>
          <w:sz w:val="28"/>
          <w:szCs w:val="28"/>
        </w:rPr>
        <w:t>Фуко</w:t>
      </w:r>
      <w:r w:rsidRPr="007A69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выделяет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кратко описывает два типа гетеротопии: гетеротопию кризиса и гетеротопию девиации. В последствии, исследователи станут добавлять новые типы гетеротопии,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r w:rsidR="00130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гетеротопию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убежища (</w:t>
      </w:r>
      <w:r w:rsidRPr="0084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De</w:t>
      </w:r>
      <w:r w:rsidRPr="00F57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4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Cauter</w:t>
      </w:r>
      <w:proofErr w:type="spellEnd"/>
      <w:r w:rsidRPr="00F57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4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Lieven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2009)</w:t>
      </w:r>
    </w:p>
    <w:p w:rsidR="00B061D3" w:rsidRDefault="00B061D3" w:rsidP="00B061D3">
      <w:pPr>
        <w:spacing w:line="360" w:lineRule="auto"/>
        <w:ind w:left="5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Возникает вопрос, какие пространства мы можем считать гетеротопией. Мы считаем что термин «гетеротопия» можно применят</w:t>
      </w:r>
      <w:r w:rsidR="001302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только к территориям, как это часть делается в современной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гетеротопологии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и к пространству как таковому.   Оно может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 как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архитектурной гетеротопией (русская часть турецкого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отдельные районы городов, (кладбища, гетто) отдельные социальные локализованные  структуры (библиотеки, театры, молы). Однако в последнее время терминология эта получила более широкое применение, мы говорим 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гетеротопности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страны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(например России) или мегаполиса, отдельных его анклавов,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гетеротопности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ныне весьма широко понимаемого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фронтирного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пространства и т.д. Формат публикации не дает возможности  рассмотреть  коммуникации  в разных типах гетеротопий, для анализа мы возьмем   область нашего исследования в последние годы – фронтир.</w:t>
      </w:r>
      <w:r w:rsidRPr="00696A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Фронтир представляет собой пространство «между», но на данном этапе мы можем говорить не только о территориальном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фронтире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-американском, сибирском, кавказском и т.д. Исследования фронтира вышли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рамки  исторической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науки, ныне речь ведется о сетевом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фронтире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(Е.В. Морозова), исследуется городской фронтир, даже фронтир подземки. </w:t>
      </w:r>
    </w:p>
    <w:p w:rsidR="00130236" w:rsidRDefault="00B061D3" w:rsidP="00B061D3">
      <w:pPr>
        <w:spacing w:line="360" w:lineRule="auto"/>
        <w:ind w:left="5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Однако нельзя забывать один важный момент – любой фронтир – это гетеротопия, хотя не любая гетеротопия - фронтир. Фронтир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гетеротопен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силу того, что он представляет собой </w:t>
      </w:r>
      <w:r w:rsidR="001302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другое</w:t>
      </w:r>
      <w:r w:rsidR="001302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пространство, включающее в себ</w:t>
      </w:r>
      <w:r w:rsidR="001302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множественные подпространства. Возникает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часто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 гетеротопия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девиации, собирая на свою территорию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маргинализированные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личности, позже в фольклоре приобретающие героизированный характер. Фронтир может накапливать время, сохраняя традиции. Соединяя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фронтирную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гетеротопную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методологии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исследования  применительно к изучаемому 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пространству мы  расширяем возможности анализа  сложных социальных пространств.   </w:t>
      </w:r>
      <w:r w:rsidR="001302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Специфика межкультурных коммуникаций   на </w:t>
      </w:r>
      <w:proofErr w:type="spellStart"/>
      <w:r w:rsidR="001302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гетеротопных</w:t>
      </w:r>
      <w:proofErr w:type="spellEnd"/>
      <w:r w:rsidR="001302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пространствах фронтира в диахронном </w:t>
      </w:r>
      <w:proofErr w:type="gramStart"/>
      <w:r w:rsidR="001302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аспекте  достаточно</w:t>
      </w:r>
      <w:proofErr w:type="gramEnd"/>
      <w:r w:rsidR="001302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подробно описана в одной из наших предыдущих публикаций на примере кейса кавказского фронтира (Романова 2015 ).</w:t>
      </w:r>
    </w:p>
    <w:p w:rsidR="00B061D3" w:rsidRPr="002F5D6A" w:rsidRDefault="00B061D3" w:rsidP="00B061D3">
      <w:pPr>
        <w:spacing w:line="360" w:lineRule="auto"/>
        <w:ind w:left="5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современном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этапе,  когда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во фронтир превращается  и пространство мегаполиса,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фронтирная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гетеротопия проявляется еще более выпукло.  Часть пространства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мегаполиса,  прежде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всего  на местах соприкосновения   районов  проживания граждан традиционной для данного мегаполиса культуры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анклавных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районов, можно рассматривать как фронтир, поскольку  это пространство  «между», </w:t>
      </w:r>
      <w:r w:rsidR="001302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активных межкультурных коммуникаций , достаточно подвижное,  с расплывчатыми , постоянно  передвигающимися границами, со своими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конфликтогенными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зонами</w:t>
      </w:r>
      <w:r w:rsidR="001302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другой стороны современный мегаполис,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 пространство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множественных локализованных,  но  в определенных ситуациях  пересекающихся  культурных и социальных пространств представляет собой гетеротопию . На территории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города  испокон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веков были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гетеротопные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пространства -  театры, музеи, кладбища, библиотеки, бордели и т.д.  Были этнические анклавы-гетеротопии – гетто. Они существовали во многих европейских городах (Прага, Венеция, Варшава). Надо отметить, что изначально это была добровольная консолидация еврейского этноса в определенном пространстве связанная с его культурными особенностями. (</w:t>
      </w:r>
      <w:r w:rsidRPr="00AE2541">
        <w:rPr>
          <w:rFonts w:ascii="Times New Roman" w:eastAsia="Times New Roman" w:hAnsi="Times New Roman" w:cs="Times New Roman"/>
          <w:color w:val="525253"/>
          <w:sz w:val="28"/>
          <w:szCs w:val="28"/>
          <w:lang w:val="en-US" w:eastAsia="ru-RU"/>
        </w:rPr>
        <w:t>Wirth</w:t>
      </w:r>
      <w:r w:rsidRPr="00714F27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r w:rsidRPr="00AE2541">
        <w:rPr>
          <w:rFonts w:ascii="Times New Roman" w:eastAsia="Times New Roman" w:hAnsi="Times New Roman" w:cs="Times New Roman"/>
          <w:color w:val="525253"/>
          <w:sz w:val="28"/>
          <w:szCs w:val="28"/>
          <w:lang w:val="en-US" w:eastAsia="ru-RU"/>
        </w:rPr>
        <w:t>L</w:t>
      </w:r>
      <w:r w:rsidRPr="00714F27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1956,р.</w:t>
      </w:r>
      <w:proofErr w:type="gramEnd"/>
      <w:r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262), позднее </w:t>
      </w:r>
      <w:r w:rsidR="00C91659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гетто </w:t>
      </w:r>
      <w:r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пробрели принудительную и политическую окраску</w:t>
      </w:r>
      <w:r w:rsidR="00C91659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( «социальные гетто», «негритянские гетто»)</w:t>
      </w:r>
      <w:r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.  Позднее</w:t>
      </w:r>
      <w:r w:rsidR="00C91659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в восемнадцатом веке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появились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чайнатауны</w:t>
      </w:r>
      <w:proofErr w:type="spellEnd"/>
      <w:r w:rsidR="00C9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C91659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( Бангкок</w:t>
      </w:r>
      <w:proofErr w:type="gramEnd"/>
      <w:r w:rsidR="00C91659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и Нагасаки)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латинские кварталы, так называемые негритянские гетто и т.д. </w:t>
      </w:r>
    </w:p>
    <w:p w:rsidR="00B061D3" w:rsidRDefault="00B061D3" w:rsidP="00B061D3">
      <w:pPr>
        <w:spacing w:line="360" w:lineRule="auto"/>
        <w:ind w:left="5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Пространство города традиционно со времен античности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рассматривавшееся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бинарная оппозиция: публичное,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политическое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агора</w:t>
      </w:r>
      <w:r w:rsidRPr="00820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/ приватное, экономическое </w:t>
      </w:r>
      <w:r w:rsidRPr="00820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ойкос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дополняется ныне неким третьим пространством.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Л.Лофланд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9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proofErr w:type="gramStart"/>
      <w:r w:rsidR="00C91659" w:rsidRPr="00921A8B">
        <w:rPr>
          <w:rFonts w:ascii="Times New Roman" w:hAnsi="Times New Roman" w:cs="Times New Roman"/>
          <w:sz w:val="28"/>
          <w:szCs w:val="28"/>
          <w:lang w:val="en-US"/>
        </w:rPr>
        <w:t>Lofland</w:t>
      </w:r>
      <w:proofErr w:type="spellEnd"/>
      <w:r w:rsidR="00C91659" w:rsidRPr="00C91659">
        <w:rPr>
          <w:rFonts w:ascii="Times New Roman" w:hAnsi="Times New Roman" w:cs="Times New Roman"/>
          <w:sz w:val="28"/>
          <w:szCs w:val="28"/>
        </w:rPr>
        <w:t xml:space="preserve"> </w:t>
      </w:r>
      <w:r w:rsidR="00C9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1998</w:t>
      </w:r>
      <w:proofErr w:type="gramEnd"/>
      <w:r w:rsidR="00C9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называет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парохиальным</w:t>
      </w:r>
      <w:proofErr w:type="spellEnd"/>
      <w:r w:rsidR="00C9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91659" w:rsidRPr="00C9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9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</w:t>
      </w:r>
      <w:r w:rsidR="00C91659">
        <w:rPr>
          <w:rFonts w:ascii="Times New Roman" w:hAnsi="Times New Roman" w:cs="Times New Roman"/>
          <w:sz w:val="28"/>
          <w:szCs w:val="28"/>
        </w:rPr>
        <w:lastRenderedPageBreak/>
        <w:t xml:space="preserve">Дехаан и </w:t>
      </w:r>
      <w:proofErr w:type="spellStart"/>
      <w:r w:rsidR="00C91659">
        <w:rPr>
          <w:rFonts w:ascii="Times New Roman" w:hAnsi="Times New Roman" w:cs="Times New Roman"/>
          <w:sz w:val="28"/>
          <w:szCs w:val="28"/>
        </w:rPr>
        <w:t>Декаутер</w:t>
      </w:r>
      <w:proofErr w:type="spellEnd"/>
      <w:r w:rsidR="00C91659">
        <w:rPr>
          <w:rFonts w:ascii="Times New Roman" w:hAnsi="Times New Roman" w:cs="Times New Roman"/>
          <w:sz w:val="28"/>
          <w:szCs w:val="28"/>
        </w:rPr>
        <w:t xml:space="preserve"> </w:t>
      </w:r>
      <w:r w:rsidR="00C9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C91659" w:rsidRPr="00955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De</w:t>
      </w:r>
      <w:r w:rsidR="00C91659" w:rsidRPr="00C9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91659" w:rsidRPr="00955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Cauter</w:t>
      </w:r>
      <w:proofErr w:type="spellEnd"/>
      <w:r w:rsidR="00C91659" w:rsidRPr="00C9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C91659" w:rsidRPr="00955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Lieven</w:t>
      </w:r>
      <w:proofErr w:type="spellEnd"/>
      <w:r w:rsidR="00C9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2008)</w:t>
      </w:r>
      <w:r w:rsidR="00C91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определяют его, следуя </w:t>
      </w:r>
      <w:proofErr w:type="spellStart"/>
      <w:r w:rsidR="00C9165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ипподамовой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схеме как  священное. Локализованные этнические анклавы -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гетеротопии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представляют собой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парохиальное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иногда его переводят как местечковое) пространство внутри города.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Локальные пространства – гетеротопии городского фронтира представляют с одной стороны девиационную гетеротопию, поскольку включают в себя людей, которые не смогли или не захотели полноценно интегрироваться в социальное пространство принявшего их сообщества, с д</w:t>
      </w:r>
      <w:r w:rsidR="00341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угой стороны – убежища</w:t>
      </w:r>
      <w:r w:rsidRPr="00091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(ультимативную гетеротопию). </w:t>
      </w:r>
    </w:p>
    <w:p w:rsidR="00B061D3" w:rsidRDefault="00B061D3" w:rsidP="00B061D3">
      <w:pPr>
        <w:spacing w:line="360" w:lineRule="auto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третье, «другое» пространство не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ни  чисто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публичным, ни локализовано частным. Оно может быть даже территориально не локализованным</w:t>
      </w:r>
      <w:r w:rsidR="00341C8D">
        <w:rPr>
          <w:rFonts w:ascii="Times New Roman" w:hAnsi="Times New Roman" w:cs="Times New Roman"/>
          <w:sz w:val="28"/>
          <w:szCs w:val="28"/>
        </w:rPr>
        <w:t xml:space="preserve"> (киргизское сообщество Москвы).</w:t>
      </w:r>
      <w:r>
        <w:rPr>
          <w:rFonts w:ascii="Times New Roman" w:hAnsi="Times New Roman" w:cs="Times New Roman"/>
          <w:sz w:val="28"/>
          <w:szCs w:val="28"/>
        </w:rPr>
        <w:t xml:space="preserve"> Хотя внутри такого пространства обосабливается частная жизнь другой культурной группы (своя экономическая инфраструктура, культурные связи, традиции, язык), это пространство  имеет и политические характеристики. Внутри таких анклавов возникают протестные движения, оформленные чаще всего в виде стихийных бунтов, погромов, избиений</w:t>
      </w:r>
      <w:r w:rsidR="00341C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на фронтирной территории снаружи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появляются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</w:t>
      </w:r>
      <w:proofErr w:type="gramEnd"/>
      <w:r w:rsidR="00341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протестные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явления, выражающиеся как в политических лозунгах</w:t>
      </w:r>
      <w:r w:rsidR="00341C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в сознательном обострении системы межкультурных</w:t>
      </w:r>
      <w:r w:rsidR="00C91659" w:rsidRPr="00C9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коммуникаций (запреты на ношения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хиджаба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школе, строительства высоких минаретов</w:t>
      </w:r>
      <w:r w:rsidR="00341C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появление на общественных пляжах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буркини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="00341C8D">
        <w:rPr>
          <w:rFonts w:ascii="Times New Roman" w:hAnsi="Times New Roman" w:cs="Times New Roman"/>
          <w:sz w:val="28"/>
          <w:szCs w:val="28"/>
        </w:rPr>
        <w:t xml:space="preserve"> Анализ функционирования таких пространств чрезвычайно важен для понимания перспектив дальнейшего взаимодействия культурной и политической составляющих общественной жизни. </w:t>
      </w:r>
    </w:p>
    <w:p w:rsidR="00B061D3" w:rsidRPr="00B26D08" w:rsidRDefault="00B061D3" w:rsidP="00B061D3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14F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B26D0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Библиография</w:t>
      </w:r>
    </w:p>
    <w:p w:rsidR="00C91659" w:rsidRPr="00921A8B" w:rsidRDefault="00C91659" w:rsidP="00C916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921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Dahaene</w:t>
      </w:r>
      <w:proofErr w:type="spellEnd"/>
      <w:r w:rsidRPr="00921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921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Mi</w:t>
      </w:r>
      <w:proofErr w:type="spellEnd"/>
      <w:r w:rsidRPr="00921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spellStart"/>
      <w:r w:rsidRPr="00921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hiel</w:t>
      </w:r>
      <w:proofErr w:type="spellEnd"/>
      <w:r w:rsidRPr="00921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, De </w:t>
      </w:r>
      <w:proofErr w:type="spellStart"/>
      <w:r w:rsidRPr="00921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Cauter</w:t>
      </w:r>
      <w:proofErr w:type="spellEnd"/>
      <w:r w:rsidRPr="00921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, </w:t>
      </w:r>
      <w:proofErr w:type="spellStart"/>
      <w:r w:rsidRPr="00921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Lieven</w:t>
      </w:r>
      <w:proofErr w:type="spellEnd"/>
      <w:r w:rsidRPr="00921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. Heterotopia and the </w:t>
      </w:r>
      <w:proofErr w:type="spellStart"/>
      <w:r w:rsidRPr="00921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sity</w:t>
      </w:r>
      <w:proofErr w:type="spellEnd"/>
      <w:r w:rsidRPr="00921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. Routledge. </w:t>
      </w:r>
      <w:r w:rsidRPr="00921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2008.</w:t>
      </w:r>
    </w:p>
    <w:p w:rsidR="00B061D3" w:rsidRDefault="00B061D3" w:rsidP="00B061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955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De</w:t>
      </w:r>
      <w:r w:rsidRPr="00336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955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Cauter</w:t>
      </w:r>
      <w:proofErr w:type="spellEnd"/>
      <w:r w:rsidRPr="00336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, </w:t>
      </w:r>
      <w:proofErr w:type="spellStart"/>
      <w:r w:rsidRPr="00955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Lieven</w:t>
      </w:r>
      <w:proofErr w:type="spellEnd"/>
      <w:r w:rsidRPr="00955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. A space of play. </w:t>
      </w:r>
      <w:proofErr w:type="spellStart"/>
      <w:r w:rsidRPr="00955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Berlage</w:t>
      </w:r>
      <w:proofErr w:type="spellEnd"/>
      <w:r w:rsidRPr="00955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Institute Reader [</w:t>
      </w:r>
      <w:r w:rsidRPr="00955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Текст</w:t>
      </w:r>
      <w:r w:rsidRPr="00955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] / </w:t>
      </w:r>
      <w:proofErr w:type="spellStart"/>
      <w:r w:rsidRPr="00955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Lieven</w:t>
      </w:r>
      <w:proofErr w:type="spellEnd"/>
      <w:r w:rsidRPr="00955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De </w:t>
      </w:r>
      <w:proofErr w:type="spellStart"/>
      <w:r w:rsidRPr="00955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Cauter</w:t>
      </w:r>
      <w:proofErr w:type="spellEnd"/>
      <w:r w:rsidRPr="00955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, </w:t>
      </w:r>
      <w:proofErr w:type="spellStart"/>
      <w:r w:rsidRPr="00955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Michiel</w:t>
      </w:r>
      <w:proofErr w:type="spellEnd"/>
      <w:r w:rsidRPr="00955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955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Dahaene</w:t>
      </w:r>
      <w:proofErr w:type="spellEnd"/>
      <w:r w:rsidRPr="00955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. – Rotterdam, 2009</w:t>
      </w:r>
    </w:p>
    <w:p w:rsidR="00C91659" w:rsidRPr="00921A8B" w:rsidRDefault="00C91659" w:rsidP="00C916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proofErr w:type="spellStart"/>
      <w:r w:rsidRPr="00921A8B">
        <w:rPr>
          <w:rFonts w:ascii="Times New Roman" w:hAnsi="Times New Roman" w:cs="Times New Roman"/>
          <w:sz w:val="28"/>
          <w:szCs w:val="28"/>
          <w:lang w:val="en-US"/>
        </w:rPr>
        <w:t>Lofland</w:t>
      </w:r>
      <w:proofErr w:type="spellEnd"/>
      <w:r w:rsidRPr="00921A8B">
        <w:rPr>
          <w:rFonts w:ascii="Times New Roman" w:hAnsi="Times New Roman" w:cs="Times New Roman"/>
          <w:sz w:val="28"/>
          <w:szCs w:val="28"/>
          <w:lang w:val="en-US"/>
        </w:rPr>
        <w:t xml:space="preserve"> L. The public realm. </w:t>
      </w:r>
      <w:proofErr w:type="spellStart"/>
      <w:r w:rsidRPr="00921A8B">
        <w:rPr>
          <w:rFonts w:ascii="Times New Roman" w:hAnsi="Times New Roman" w:cs="Times New Roman"/>
          <w:sz w:val="28"/>
          <w:szCs w:val="28"/>
        </w:rPr>
        <w:t>Transaction</w:t>
      </w:r>
      <w:proofErr w:type="spellEnd"/>
      <w:r w:rsidRPr="00921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A8B">
        <w:rPr>
          <w:rFonts w:ascii="Times New Roman" w:hAnsi="Times New Roman" w:cs="Times New Roman"/>
          <w:sz w:val="28"/>
          <w:szCs w:val="28"/>
        </w:rPr>
        <w:t>Publishers</w:t>
      </w:r>
      <w:proofErr w:type="spellEnd"/>
      <w:r w:rsidRPr="00921A8B">
        <w:rPr>
          <w:rFonts w:ascii="Times New Roman" w:hAnsi="Times New Roman" w:cs="Times New Roman"/>
          <w:sz w:val="28"/>
          <w:szCs w:val="28"/>
        </w:rPr>
        <w:t>, 1998</w:t>
      </w:r>
    </w:p>
    <w:p w:rsidR="00B061D3" w:rsidRPr="009559B0" w:rsidRDefault="00B061D3" w:rsidP="00B061D3">
      <w:pPr>
        <w:pStyle w:val="a3"/>
        <w:numPr>
          <w:ilvl w:val="0"/>
          <w:numId w:val="1"/>
        </w:numPr>
        <w:shd w:val="clear" w:color="auto" w:fill="FFFFFF"/>
        <w:spacing w:before="225" w:after="225" w:line="154" w:lineRule="atLeast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val="en-US" w:eastAsia="ru-RU"/>
        </w:rPr>
      </w:pPr>
      <w:r w:rsidRPr="009559B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lastRenderedPageBreak/>
        <w:t xml:space="preserve">Foucault M. Of Other Spaces 1986 // </w:t>
      </w:r>
      <w:proofErr w:type="gramStart"/>
      <w:r w:rsidRPr="009559B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Diacritics.,</w:t>
      </w:r>
      <w:proofErr w:type="gramEnd"/>
      <w:r w:rsidRPr="009559B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Vol. 16, No. 1. Pp 22-27</w:t>
      </w:r>
    </w:p>
    <w:p w:rsidR="00B061D3" w:rsidRPr="009559B0" w:rsidRDefault="00B061D3" w:rsidP="00B061D3">
      <w:pPr>
        <w:pStyle w:val="a3"/>
        <w:numPr>
          <w:ilvl w:val="0"/>
          <w:numId w:val="1"/>
        </w:numPr>
        <w:shd w:val="clear" w:color="auto" w:fill="FFFFFF"/>
        <w:spacing w:before="225" w:after="225" w:line="154" w:lineRule="atLeast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val="en-US" w:eastAsia="ru-RU"/>
        </w:rPr>
      </w:pPr>
      <w:r w:rsidRPr="009559B0">
        <w:rPr>
          <w:rFonts w:ascii="Times New Roman" w:eastAsia="Times New Roman" w:hAnsi="Times New Roman" w:cs="Times New Roman"/>
          <w:color w:val="525253"/>
          <w:sz w:val="28"/>
          <w:szCs w:val="28"/>
          <w:lang w:val="en-US" w:eastAsia="ru-RU"/>
        </w:rPr>
        <w:t>Wirth L. The ghetto // Community life and social policy: Selected papers by Louis Wirth. – Chicago: University of Chicago Press, 1956. – P. 261–274</w:t>
      </w:r>
      <w:proofErr w:type="gramStart"/>
      <w:r w:rsidRPr="009559B0">
        <w:rPr>
          <w:rFonts w:ascii="Times New Roman" w:eastAsia="Times New Roman" w:hAnsi="Times New Roman" w:cs="Times New Roman"/>
          <w:color w:val="525253"/>
          <w:sz w:val="28"/>
          <w:szCs w:val="28"/>
          <w:lang w:val="en-US" w:eastAsia="ru-RU"/>
        </w:rPr>
        <w:t>..</w:t>
      </w:r>
      <w:proofErr w:type="gramEnd"/>
    </w:p>
    <w:p w:rsidR="00B061D3" w:rsidRDefault="00B061D3" w:rsidP="00B061D3">
      <w:pPr>
        <w:pStyle w:val="a3"/>
        <w:numPr>
          <w:ilvl w:val="0"/>
          <w:numId w:val="1"/>
        </w:numPr>
        <w:shd w:val="clear" w:color="auto" w:fill="FFFFFF"/>
        <w:spacing w:before="225" w:after="225" w:line="154" w:lineRule="atLeast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9559B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Романова А.П. Специфика межкультурных коммуникаций на </w:t>
      </w:r>
      <w:proofErr w:type="spellStart"/>
      <w:r w:rsidRPr="009559B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фронтирных</w:t>
      </w:r>
      <w:proofErr w:type="spellEnd"/>
      <w:r w:rsidRPr="009559B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gramStart"/>
      <w:r w:rsidRPr="009559B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территориях./</w:t>
      </w:r>
      <w:proofErr w:type="gramEnd"/>
      <w:r w:rsidRPr="009559B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/Каспийский регион: политика, экономика, культуры. 2015,№3.с.266-271</w:t>
      </w:r>
    </w:p>
    <w:p w:rsidR="00B061D3" w:rsidRPr="009559B0" w:rsidRDefault="00B061D3" w:rsidP="00B061D3">
      <w:pPr>
        <w:pStyle w:val="a3"/>
        <w:numPr>
          <w:ilvl w:val="0"/>
          <w:numId w:val="1"/>
        </w:numPr>
        <w:shd w:val="clear" w:color="auto" w:fill="FFFFFF"/>
        <w:spacing w:before="225" w:after="225" w:line="154" w:lineRule="atLeast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Яку</w:t>
      </w:r>
      <w:r w:rsidR="00CB30F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шенкова</w:t>
      </w:r>
      <w:proofErr w:type="spellEnd"/>
      <w:r w:rsidR="00CB30F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О.С. Образ чужого в </w:t>
      </w:r>
      <w:proofErr w:type="spellStart"/>
      <w:r w:rsidR="00CB30F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гетеротопных</w:t>
      </w:r>
      <w:proofErr w:type="spellEnd"/>
      <w:r w:rsidR="00CB30F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пространствах фронтира. Диссертация на соискание кандидата философских наук. 24.00.01. Астрахань 2014</w:t>
      </w:r>
    </w:p>
    <w:p w:rsidR="00D07B85" w:rsidRDefault="002559D9"/>
    <w:sectPr w:rsidR="00D0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B2770"/>
    <w:multiLevelType w:val="hybridMultilevel"/>
    <w:tmpl w:val="72DC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DE"/>
    <w:rsid w:val="000F0D39"/>
    <w:rsid w:val="00130236"/>
    <w:rsid w:val="002559D9"/>
    <w:rsid w:val="002E6C7F"/>
    <w:rsid w:val="003271C9"/>
    <w:rsid w:val="00341C8D"/>
    <w:rsid w:val="007C44DE"/>
    <w:rsid w:val="009D612A"/>
    <w:rsid w:val="00B061D3"/>
    <w:rsid w:val="00B91455"/>
    <w:rsid w:val="00C91659"/>
    <w:rsid w:val="00CB30F6"/>
    <w:rsid w:val="00F5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0C470-DC01-421B-B0BF-6BA85BA5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1D3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1007</Words>
  <Characters>7133</Characters>
  <Application>Microsoft Office Word</Application>
  <DocSecurity>0</DocSecurity>
  <Lines>131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Петровна Романова</dc:creator>
  <cp:keywords/>
  <dc:description/>
  <cp:lastModifiedBy>Анна Петровна Романова</cp:lastModifiedBy>
  <cp:revision>3</cp:revision>
  <dcterms:created xsi:type="dcterms:W3CDTF">2016-08-29T06:39:00Z</dcterms:created>
  <dcterms:modified xsi:type="dcterms:W3CDTF">2016-08-29T06:39:00Z</dcterms:modified>
</cp:coreProperties>
</file>