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3" w:rsidRDefault="00B061D3" w:rsidP="00B06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М.С. Топчиев, А.П. Романова (Астрахань)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DA7D74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Специфика коммуникаций в </w:t>
      </w:r>
      <w:proofErr w:type="spellStart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гетеротопном</w:t>
      </w:r>
      <w:proofErr w:type="spellEnd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пространстве: политический и  культурный  аспекты</w:t>
      </w:r>
    </w:p>
    <w:p w:rsidR="000F6A73" w:rsidRDefault="000F6A73" w:rsidP="000F6A73">
      <w:pPr>
        <w:pStyle w:val="1"/>
        <w:shd w:val="clear" w:color="auto" w:fill="auto"/>
        <w:spacing w:line="187" w:lineRule="exact"/>
        <w:ind w:left="20" w:right="20"/>
        <w:jc w:val="center"/>
        <w:rPr>
          <w:b/>
          <w:color w:val="000000"/>
          <w:sz w:val="28"/>
          <w:szCs w:val="28"/>
          <w:lang w:val="ru-RU"/>
        </w:rPr>
      </w:pPr>
    </w:p>
    <w:p w:rsidR="000F6A73" w:rsidRPr="000F6A73" w:rsidRDefault="000F6A73" w:rsidP="000F6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73">
        <w:rPr>
          <w:rFonts w:ascii="Times New Roman" w:hAnsi="Times New Roman" w:cs="Times New Roman"/>
          <w:b/>
          <w:sz w:val="28"/>
          <w:szCs w:val="28"/>
        </w:rPr>
        <w:t>Работа выполнена при поддержке РГНФ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F6A73">
        <w:rPr>
          <w:rFonts w:ascii="Times New Roman" w:hAnsi="Times New Roman" w:cs="Times New Roman"/>
          <w:b/>
          <w:sz w:val="28"/>
          <w:szCs w:val="28"/>
        </w:rPr>
        <w:t>15-33-11172а (ц) «Культурная б</w:t>
      </w:r>
      <w:r>
        <w:rPr>
          <w:rFonts w:ascii="Times New Roman" w:hAnsi="Times New Roman" w:cs="Times New Roman"/>
          <w:b/>
          <w:sz w:val="28"/>
          <w:szCs w:val="28"/>
        </w:rPr>
        <w:t>езопасность в условиях гетерото</w:t>
      </w:r>
      <w:r w:rsidRPr="000F6A73">
        <w:rPr>
          <w:rFonts w:ascii="Times New Roman" w:hAnsi="Times New Roman" w:cs="Times New Roman"/>
          <w:b/>
          <w:sz w:val="28"/>
          <w:szCs w:val="28"/>
        </w:rPr>
        <w:t>пии».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FE6049" w:rsidRDefault="00B061D3" w:rsidP="00B0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6C4234" w:rsidRDefault="00B061D3" w:rsidP="00341C8D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 терминология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связанная с иными,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пространствами все чаще входит в научный оборот, не только в области  исследования городского пространства, но и  всяческих других социальных пространств. Вброшенный в научный оборот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bookmarkStart w:id="0" w:name="_GoBack"/>
      <w:bookmarkEnd w:id="0"/>
      <w:r w:rsidR="00341C8D" w:rsidRPr="006A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41C8D"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и вещи.» (1966), «Другое пространство» (1984))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последние десятилетия начинает </w:t>
      </w:r>
      <w:proofErr w:type="gram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использоваться</w:t>
      </w:r>
      <w:proofErr w:type="gram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и как методологическая основа для  гуманитарных  исследований.</w:t>
      </w:r>
      <w:r w:rsidR="00341C8D"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Фуко не дает гетеротопии четкой дефиниции, он скорее описывает ее как реально существующие пространства,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 действующие утопии, которые формируются в самом основании общества.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  Фуко считал, что они 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представляют собой </w:t>
      </w:r>
      <w:proofErr w:type="spellStart"/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контр-пространства</w:t>
      </w:r>
      <w:proofErr w:type="spellEnd"/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рамках которых другие реальные места, существующие в культуре, одновременно представлены, противостоят друг другу   и перевернуты. Эти места находятся за пределами  всех мест, хотя в реальности они фактически локализуемы.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Foucault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1986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.24)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61D3" w:rsidRPr="001D772C" w:rsidRDefault="00B061D3" w:rsidP="00B06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 данной публикации не позволяет долго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подробно  останавливаться на тех принципах гетеротопии, которые Фуко обозначает в этой работе, тем более что они  подробно проанализированы в зарубежной  (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iel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отечественной литературе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Якушенкова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том числе и  применительно к различным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гетеротопным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пространствам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только перечислим их для того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 был лучше понятен ход анализа.  Шесть принципов  гетеротопии  Фуко включают: ее универсальность, т.е. характерность  практически для любой культуры;  гибкую функциональность, поскольку общество может заставить ее функционировать разными способами; наличие множественных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пространств в одном пространстве гетеротопии; сохранение времени; наличие входа и выхода в гетеротопию; несмотря на изоляцию, способность контактировать со  всеми другими пространствами.  </w:t>
      </w:r>
      <w:r w:rsidRPr="00076FEB">
        <w:rPr>
          <w:rFonts w:ascii="Times New Roman" w:hAnsi="Times New Roman" w:cs="Times New Roman"/>
          <w:sz w:val="28"/>
          <w:szCs w:val="28"/>
        </w:rPr>
        <w:t>Фуко</w:t>
      </w:r>
      <w:r w:rsidRPr="007A6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выделяет  и кратко описывает два типа гетеротопии: гетеротопию кризиса и гетеротопию девиации.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исследователи станут добавлять новые типы гетеротопии, например</w:t>
      </w:r>
      <w:r w:rsidR="0013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гетеротопию убежища (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2009)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Возникает вопрос, какие пространства мы можем считать гетеротопией. Мы считаем что термин «гетеротопия» можно применят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к территориям, как это часть делается в современной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гетеротопологии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и к пространству как таковому.   Оно может быть  как архитектурной гетеротопией (русская часть турецкого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отдельные районы городов, (кладбища, гетто) отдельные социальные локализованные  структуры (библиотеки, театры, молы). Однако в последнее время терминология эта получила более широкое применение, мы говорим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страны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России) или мегаполиса, отдельных его анклавов,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ныне весьма широко понимаемого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и т.д. Формат публикации не дает возможности  рассмотреть  коммуникации  в разных типах гетеротопий, для анализа мы возьмем   область нашего исследования в последние годы – фронтир.</w:t>
      </w:r>
      <w:r w:rsidRPr="0069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Фронтир представляет собой пространство «между», но на данном этапе мы можем говорить не только о территориальном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-американском, сибирском, кавказском и т.д. Исследования фронтира вышли за рамки  исторической науки, ныне речь ведется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сетевом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(Е.В. Морозова), исследуется городской фронтир, даже фронтир подземки. </w:t>
      </w:r>
    </w:p>
    <w:p w:rsidR="00130236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нельзя забывать один важный момент – любой фронтир – это гетеротопия, хотя не любая гетеротопия - фронтир.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того, что он представляет собой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другое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пространство, включающее в себ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множественные подпространства.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часто как  гетеротопия девиации, собирая на свою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маргинализированные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личности, позже в фольклоре приобретающие героизированный характер. Фронтир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может накапливать время, сохраняя традиции.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Соединяя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методологии исследования  применительно к изучаемому нами пространству мы  расширяем возможности анализа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сложных социальных пространств.  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Специфика межкультурных коммуникаций   на </w:t>
      </w:r>
      <w:proofErr w:type="spellStart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гетеротопных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пространствах фронтира в диахронном аспекте  достаточно подробно описана в одной из наших предыдущих публикаций на примере кейса кавказского фронтира (Романова 2015</w:t>
      </w:r>
      <w:proofErr w:type="gramStart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61D3" w:rsidRPr="002F5D6A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этапе,  когда  во фронтир превращается  и пространство мегаполиса,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гетеротопия проявляется еще более выпукло.  Часть пространства мегаполиса,  прежде всего  на местах соприкосновения   районов  проживания граждан традиционной для данного мегаполиса культуры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анклавных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районов, можно рассматривать как фронтир, поскольку  это пространство  «между»,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активных межкультурных коммуникаций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достаточно подвижное,  с расплывчатыми , постоянно  передвигающимися границами, со своими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конфликтогенными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зонами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другой стороны современный мегаполис, как  пространство множественных локализованных,  но  в определенных ситуациях  пересекающихся  культурных и социальных пространств представляет собой гетеротопию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города  испокон веков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-  театры, музеи, кладбища, библиотеки, бордели и т.д.  Были этнические анклавы-гетеротопии – гетто. Они существовали во многих европейских городах (Прага, Венеция, Варшава). Надо отметить, что изначально это была добровольная консолидация еврейского этноса в определенном пространстве связанная с его культурными особенностями.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Wirth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.1956,р.262), позднее 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гетто 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пробрели принудительную и политическую окраску</w:t>
      </w:r>
      <w:r w:rsidR="006C4234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«социальные гетто», «негритянские гетто»)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Позднее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восемнадцатом веке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появились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чайнатауны</w:t>
      </w:r>
      <w:proofErr w:type="spellEnd"/>
      <w:r w:rsidR="00C91659"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(Бангкок и Нагасаки)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латинские кварталы, так называемые негритянские гетто и т.д. 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 города традиционно со времен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античности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рассматривавшееся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бинарная оппозиция: публичное, политическое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(агора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приватное, экономическое 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ойкос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дополняется ныне неким третьим пространством.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Л.Лофланд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C91659" w:rsidRPr="00921A8B">
        <w:rPr>
          <w:rFonts w:ascii="Times New Roman" w:hAnsi="Times New Roman" w:cs="Times New Roman"/>
          <w:sz w:val="28"/>
          <w:szCs w:val="28"/>
          <w:lang w:val="en-US"/>
        </w:rPr>
        <w:t>Lofland</w:t>
      </w:r>
      <w:proofErr w:type="spellEnd"/>
      <w:r w:rsidR="00C91659" w:rsidRP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называет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парохиальным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Дехаан</w:t>
      </w:r>
      <w:proofErr w:type="spellEnd"/>
      <w:r w:rsidR="00C916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Декаутер</w:t>
      </w:r>
      <w:proofErr w:type="spellEnd"/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2008)</w:t>
      </w:r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 его, следуя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ипподамовой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схеме как  священное. Локализованные этнические анклавы - гетеротопии  и представляют собой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парохиальное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иногда его переводят как местечковое) пространство внутри города.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Локальные пространства – гетеротопии городского фронтира представляют с одной стороны девиационную гетеротопию, поскольку включают в себя людей, которые не смогли или не захотели полноценно интегрироваться в социальное пространство принявшего их сообщества, с д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угой стороны – убежища</w:t>
      </w:r>
      <w:r w:rsidRPr="0009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(ультимативную гетеротопию). </w:t>
      </w:r>
    </w:p>
    <w:p w:rsidR="00B061D3" w:rsidRPr="006C4234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третье, «другое» пространство не является ни  чисто публичным, ни локализовано частным. Оно может быть даже территориально не локализованным</w:t>
      </w:r>
      <w:r w:rsidR="00341C8D">
        <w:rPr>
          <w:rFonts w:ascii="Times New Roman" w:hAnsi="Times New Roman" w:cs="Times New Roman"/>
          <w:sz w:val="28"/>
          <w:szCs w:val="28"/>
        </w:rPr>
        <w:t xml:space="preserve"> (киргизское сообщество Москвы).</w:t>
      </w:r>
      <w:r>
        <w:rPr>
          <w:rFonts w:ascii="Times New Roman" w:hAnsi="Times New Roman" w:cs="Times New Roman"/>
          <w:sz w:val="28"/>
          <w:szCs w:val="28"/>
        </w:rPr>
        <w:t xml:space="preserve"> Хотя внутри такого пространства обосабливается частная жизнь другой культурной группы (своя экономическая инфраструктура, культурные связи, традиции, язык), это пространство  имеет и политические характеристики.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 таких анклавов возникают протестные движения, оформленные чаще всего в виде стихийных бунтов, погромов, избиений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фронтирной территории снаружи появляются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</w:t>
      </w:r>
      <w:r w:rsidR="00341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протестные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выражающиеся как в политических лозунгах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сознательном обострении системы межкультурных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 (запреты на 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хиджаба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строительства высоких минаретов</w:t>
      </w:r>
      <w:r w:rsidR="00341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появление на общественных пляжах в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буркини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41C8D" w:rsidRPr="006C4234">
        <w:rPr>
          <w:rFonts w:ascii="Times New Roman" w:hAnsi="Times New Roman" w:cs="Times New Roman"/>
          <w:sz w:val="28"/>
          <w:szCs w:val="28"/>
        </w:rPr>
        <w:t xml:space="preserve"> Анализ функционирования таких простран</w:t>
      </w:r>
      <w:proofErr w:type="gramStart"/>
      <w:r w:rsidR="00341C8D" w:rsidRPr="006C4234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="00341C8D" w:rsidRPr="006C4234">
        <w:rPr>
          <w:rFonts w:ascii="Times New Roman" w:hAnsi="Times New Roman" w:cs="Times New Roman"/>
          <w:sz w:val="28"/>
          <w:szCs w:val="28"/>
        </w:rPr>
        <w:t xml:space="preserve">езвычайно важен для понимания перспектив дальнейшего взаимодействия культурной и политической составляющих общественной жизни. </w:t>
      </w:r>
    </w:p>
    <w:p w:rsidR="00B061D3" w:rsidRPr="006C4234" w:rsidRDefault="00B061D3" w:rsidP="00B061D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234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C91659" w:rsidRPr="006C4234" w:rsidRDefault="00C91659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hiel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Heterotopia and the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sity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Routledge.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2008.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A space of play.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Berlage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Institute Reader [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] /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Michiel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– Rotterdam, 2009</w:t>
      </w:r>
    </w:p>
    <w:p w:rsidR="00C91659" w:rsidRPr="006C4234" w:rsidRDefault="00C91659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6C4234">
        <w:rPr>
          <w:rFonts w:ascii="Times New Roman" w:hAnsi="Times New Roman" w:cs="Times New Roman"/>
          <w:sz w:val="28"/>
          <w:szCs w:val="28"/>
          <w:lang w:val="en-US"/>
        </w:rPr>
        <w:lastRenderedPageBreak/>
        <w:t>Lofland</w:t>
      </w:r>
      <w:proofErr w:type="spellEnd"/>
      <w:r w:rsidRPr="006C4234">
        <w:rPr>
          <w:rFonts w:ascii="Times New Roman" w:hAnsi="Times New Roman" w:cs="Times New Roman"/>
          <w:sz w:val="28"/>
          <w:szCs w:val="28"/>
          <w:lang w:val="en-US"/>
        </w:rPr>
        <w:t xml:space="preserve"> L. The public realm.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>, 1998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Foucault M. Of Other Spaces 1986 // </w:t>
      </w:r>
      <w:proofErr w:type="gramStart"/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Diacritics.,</w:t>
      </w:r>
      <w:proofErr w:type="gramEnd"/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Vol. 16, No. 1. Pp 22-27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Wirth L. The ghetto // Community life and social policy: Selected papers by Louis Wirth. – Chicago: University of Chicago Press, 1956. – P. 261–274</w:t>
      </w:r>
      <w:proofErr w:type="gramStart"/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proofErr w:type="gramEnd"/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А.П. Специфика межкультурных коммуникаций на фронтирных территориях./ /Каспийский регион: политика, экономика, культуры. 2015,№3.с.266-271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шенкова</w:t>
      </w:r>
      <w:proofErr w:type="spellEnd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Образ чужого в </w:t>
      </w:r>
      <w:proofErr w:type="spellStart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гетеротопных</w:t>
      </w:r>
      <w:proofErr w:type="spellEnd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пространствах фронтира. Диссертация на соискание кандидата философских наук. 24.00.01. Астрахань 2014</w:t>
      </w:r>
    </w:p>
    <w:p w:rsidR="00D07B85" w:rsidRDefault="006C4234"/>
    <w:sectPr w:rsidR="00D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770"/>
    <w:multiLevelType w:val="hybridMultilevel"/>
    <w:tmpl w:val="72DC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E"/>
    <w:rsid w:val="000F0D39"/>
    <w:rsid w:val="000F6A73"/>
    <w:rsid w:val="00130236"/>
    <w:rsid w:val="002559D9"/>
    <w:rsid w:val="002E6C7F"/>
    <w:rsid w:val="003271C9"/>
    <w:rsid w:val="00341C8D"/>
    <w:rsid w:val="006C4234"/>
    <w:rsid w:val="007C44DE"/>
    <w:rsid w:val="009D612A"/>
    <w:rsid w:val="00B061D3"/>
    <w:rsid w:val="00B91455"/>
    <w:rsid w:val="00C91659"/>
    <w:rsid w:val="00CB30F6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F6A73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0F6A73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F6A73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0F6A73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Петровна Романова</dc:creator>
  <cp:keywords/>
  <dc:description/>
  <cp:lastModifiedBy>1</cp:lastModifiedBy>
  <cp:revision>5</cp:revision>
  <dcterms:created xsi:type="dcterms:W3CDTF">2016-08-29T06:39:00Z</dcterms:created>
  <dcterms:modified xsi:type="dcterms:W3CDTF">2016-08-29T18:12:00Z</dcterms:modified>
</cp:coreProperties>
</file>