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27" w:rsidRDefault="00794A6A" w:rsidP="00794A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A76127">
        <w:rPr>
          <w:rFonts w:ascii="Times New Roman" w:hAnsi="Times New Roman" w:cs="Times New Roman"/>
          <w:sz w:val="24"/>
          <w:szCs w:val="24"/>
        </w:rPr>
        <w:t>Сморгунов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  <w:bookmarkStart w:id="0" w:name="_GoBack"/>
      <w:bookmarkEnd w:id="0"/>
      <w:r w:rsidR="00A76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4C0" w:rsidRPr="00A76127" w:rsidRDefault="000C20B1" w:rsidP="00091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27">
        <w:rPr>
          <w:rFonts w:ascii="Times New Roman" w:hAnsi="Times New Roman" w:cs="Times New Roman"/>
          <w:b/>
          <w:sz w:val="24"/>
          <w:szCs w:val="24"/>
        </w:rPr>
        <w:t>ОТКРЫТОЕ ПРАВИТЕЛЬСТВО ДЛЯ ИНКЛЮЗИВНОГО РАЗВИТИЯ: ОПЫТ СТРАН БРИКС</w:t>
      </w:r>
      <w:r w:rsidR="00091EC0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A76127" w:rsidRPr="00A76127" w:rsidRDefault="00091EC0" w:rsidP="00091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Реформы под лозунгом </w:t>
      </w:r>
      <w:r w:rsidR="00A76127" w:rsidRPr="00A76127">
        <w:rPr>
          <w:rFonts w:ascii="Times New Roman" w:hAnsi="Times New Roman" w:cs="Times New Roman"/>
          <w:sz w:val="24"/>
          <w:szCs w:val="24"/>
        </w:rPr>
        <w:t>открытого э</w:t>
      </w:r>
      <w:r>
        <w:rPr>
          <w:rFonts w:ascii="Times New Roman" w:hAnsi="Times New Roman" w:cs="Times New Roman"/>
          <w:sz w:val="24"/>
          <w:szCs w:val="24"/>
        </w:rPr>
        <w:t>лектронного правительства начали</w:t>
      </w:r>
      <w:r w:rsidR="00A76127" w:rsidRPr="00A76127">
        <w:rPr>
          <w:rFonts w:ascii="Times New Roman" w:hAnsi="Times New Roman" w:cs="Times New Roman"/>
          <w:sz w:val="24"/>
          <w:szCs w:val="24"/>
        </w:rPr>
        <w:t>сь в конце прошлого десятилетия. Под лозунгами прозрачности, участия и сотрудничества, это движение з</w:t>
      </w:r>
      <w:r>
        <w:rPr>
          <w:rFonts w:ascii="Times New Roman" w:hAnsi="Times New Roman" w:cs="Times New Roman"/>
          <w:sz w:val="24"/>
          <w:szCs w:val="24"/>
        </w:rPr>
        <w:t>аняло многие страны, что отражается в формировании</w:t>
      </w:r>
      <w:r w:rsidR="009B7999">
        <w:rPr>
          <w:rFonts w:ascii="Times New Roman" w:hAnsi="Times New Roman" w:cs="Times New Roman"/>
          <w:sz w:val="24"/>
          <w:szCs w:val="24"/>
        </w:rPr>
        <w:t xml:space="preserve"> в 2011 г.</w:t>
      </w:r>
      <w:r>
        <w:rPr>
          <w:rFonts w:ascii="Times New Roman" w:hAnsi="Times New Roman" w:cs="Times New Roman"/>
          <w:sz w:val="24"/>
          <w:szCs w:val="24"/>
        </w:rPr>
        <w:t xml:space="preserve"> специального международного движения «</w:t>
      </w:r>
      <w:r w:rsidR="00A76127" w:rsidRPr="00A76127">
        <w:rPr>
          <w:rFonts w:ascii="Times New Roman" w:hAnsi="Times New Roman" w:cs="Times New Roman"/>
          <w:sz w:val="24"/>
          <w:szCs w:val="24"/>
        </w:rPr>
        <w:t>Партнерство отк</w:t>
      </w:r>
      <w:r w:rsidR="00A76127">
        <w:rPr>
          <w:rFonts w:ascii="Times New Roman" w:hAnsi="Times New Roman" w:cs="Times New Roman"/>
          <w:sz w:val="24"/>
          <w:szCs w:val="24"/>
        </w:rPr>
        <w:t>рытого правительства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7999">
        <w:rPr>
          <w:rFonts w:ascii="Times New Roman" w:hAnsi="Times New Roman" w:cs="Times New Roman"/>
          <w:sz w:val="24"/>
          <w:szCs w:val="24"/>
        </w:rPr>
        <w:t xml:space="preserve"> (Бразилия и Южная Африка были в числе восьми  стран-организаторов этого движения)</w:t>
      </w:r>
      <w:r w:rsidR="00A76127" w:rsidRPr="00A76127">
        <w:rPr>
          <w:rFonts w:ascii="Times New Roman" w:hAnsi="Times New Roman" w:cs="Times New Roman"/>
          <w:sz w:val="24"/>
          <w:szCs w:val="24"/>
        </w:rPr>
        <w:t>. В целом, движение относится</w:t>
      </w:r>
      <w:r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 к некоторым изменениям в иде</w:t>
      </w:r>
      <w:r>
        <w:rPr>
          <w:rFonts w:ascii="Times New Roman" w:hAnsi="Times New Roman" w:cs="Times New Roman"/>
          <w:sz w:val="24"/>
          <w:szCs w:val="24"/>
        </w:rPr>
        <w:t xml:space="preserve">ологии административной реформы, особый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делая на открытости,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использованию данных для участия в публичной политике.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 Появление сетевых социальных структур преобразовали задачу государственного управления. В связи с этим, термин «</w:t>
      </w:r>
      <w:r>
        <w:rPr>
          <w:rFonts w:ascii="Times New Roman" w:hAnsi="Times New Roman" w:cs="Times New Roman"/>
          <w:sz w:val="24"/>
          <w:szCs w:val="24"/>
        </w:rPr>
        <w:t xml:space="preserve">новое </w:t>
      </w:r>
      <w:r w:rsidR="00A76127" w:rsidRPr="00A76127">
        <w:rPr>
          <w:rFonts w:ascii="Times New Roman" w:hAnsi="Times New Roman" w:cs="Times New Roman"/>
          <w:sz w:val="24"/>
          <w:szCs w:val="24"/>
        </w:rPr>
        <w:t>управление» было принято в качестве основы для описания нового способа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в сетевом обществе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Публичное управление как функция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 социальной координации, которая призвана осуществлять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 не только профессиональны</w:t>
      </w:r>
      <w:r>
        <w:rPr>
          <w:rFonts w:ascii="Times New Roman" w:hAnsi="Times New Roman" w:cs="Times New Roman"/>
          <w:sz w:val="24"/>
          <w:szCs w:val="24"/>
        </w:rPr>
        <w:t>ми менеджерами, но и гражданским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sz w:val="24"/>
          <w:szCs w:val="24"/>
        </w:rPr>
        <w:t>м, сделало необходимым влияние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 многих новых участников. По связям с общественностью, государственные органы и организации стали прозрачными и открытыми для общественного обсуждения, и</w:t>
      </w:r>
      <w:r>
        <w:rPr>
          <w:rFonts w:ascii="Times New Roman" w:hAnsi="Times New Roman" w:cs="Times New Roman"/>
          <w:sz w:val="24"/>
          <w:szCs w:val="24"/>
        </w:rPr>
        <w:t xml:space="preserve"> последнее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 становится важным ресурсом для разр</w:t>
      </w:r>
      <w:r>
        <w:rPr>
          <w:rFonts w:ascii="Times New Roman" w:hAnsi="Times New Roman" w:cs="Times New Roman"/>
          <w:sz w:val="24"/>
          <w:szCs w:val="24"/>
        </w:rPr>
        <w:t>аботки политики. У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правление государственными делами было оценено не только с точки зрения прагматических критериев </w:t>
      </w:r>
      <w:r>
        <w:rPr>
          <w:rFonts w:ascii="Times New Roman" w:hAnsi="Times New Roman" w:cs="Times New Roman"/>
          <w:sz w:val="24"/>
          <w:szCs w:val="24"/>
        </w:rPr>
        <w:t>эффективности, но также стало</w:t>
      </w:r>
      <w:r w:rsidR="009B7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включать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 в себя политические и моральные критерии; кодекс этики становится важной частью оценки деятельности по управлению. Именно поэтому планирование и оценку открытого правительства 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в рамках «публичных ценностей»</w:t>
      </w:r>
      <w:r w:rsidR="00A76127" w:rsidRPr="00A76127">
        <w:rPr>
          <w:rFonts w:ascii="Times New Roman" w:hAnsi="Times New Roman" w:cs="Times New Roman"/>
          <w:sz w:val="24"/>
          <w:szCs w:val="24"/>
        </w:rPr>
        <w:t>.</w:t>
      </w:r>
    </w:p>
    <w:p w:rsidR="001C1665" w:rsidRPr="00A76127" w:rsidRDefault="001C1665" w:rsidP="00091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127">
        <w:rPr>
          <w:rFonts w:ascii="Times New Roman" w:hAnsi="Times New Roman" w:cs="Times New Roman"/>
          <w:sz w:val="24"/>
          <w:szCs w:val="24"/>
        </w:rPr>
        <w:t>Страны БРИКС в последние три десятилетия в ходе административных реформ заложили основы новой системы публичного управления, которая в целом продемонстрировала свою эффективность высокими темпами экономического роста и более-менее удачными социальными достижениями.</w:t>
      </w:r>
    </w:p>
    <w:p w:rsidR="001C1665" w:rsidRPr="00A76127" w:rsidRDefault="001C1665" w:rsidP="00091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127">
        <w:rPr>
          <w:rFonts w:ascii="Times New Roman" w:hAnsi="Times New Roman" w:cs="Times New Roman"/>
          <w:sz w:val="24"/>
          <w:szCs w:val="24"/>
        </w:rPr>
        <w:t xml:space="preserve">Следует заметить, что результативность реформ по странам была различной, как и их социальные и экономические эффекты. Однако в целом управляемость была обеспечена применительно к решению контекстных задач соответствующего периода. В последние годы страны БРИКС столкнулись с современными вызовами и рисками, которые заставили или предпринимать новые меры в отношении системы публичного управления или ставить эти вопросы в актуальную политическую повестку дня. </w:t>
      </w:r>
    </w:p>
    <w:p w:rsidR="001C1665" w:rsidRPr="00A76127" w:rsidRDefault="001C1665" w:rsidP="00091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27">
        <w:rPr>
          <w:rFonts w:ascii="Times New Roman" w:hAnsi="Times New Roman" w:cs="Times New Roman"/>
          <w:sz w:val="24"/>
          <w:szCs w:val="24"/>
        </w:rPr>
        <w:lastRenderedPageBreak/>
        <w:tab/>
        <w:t>Новые вызовы системам публичного управления определяются внешними и внутренними факторами и условиями. Управляемость государством сегодня требует чуткого отношения к рискам и условиям нестабильности и неопределенности, порождаемым новой экономической, социальной и политической реальностью. Современная система публичного управления должна не только отвечать на новые вызовы, но и способствовать инновационной деятельности, стимулировать ее, порождать инновации, которые становятся потребностью устойчивого и конкурентного развития. Хотя существует убеждение, что качественное управление не прямо связано с экономическим ростом и скорее является некоторым контекстуальным условием, а не пр</w:t>
      </w:r>
      <w:r w:rsidR="00A76127" w:rsidRPr="00A76127">
        <w:rPr>
          <w:rFonts w:ascii="Times New Roman" w:hAnsi="Times New Roman" w:cs="Times New Roman"/>
          <w:sz w:val="24"/>
          <w:szCs w:val="24"/>
        </w:rPr>
        <w:t>ичиной развития</w:t>
      </w:r>
      <w:r w:rsidRPr="00A76127">
        <w:rPr>
          <w:rFonts w:ascii="Times New Roman" w:hAnsi="Times New Roman" w:cs="Times New Roman"/>
          <w:sz w:val="24"/>
          <w:szCs w:val="24"/>
        </w:rPr>
        <w:t xml:space="preserve">, однако постепенно приходит осознание того, что эффективное и инновационное публичное управление само является важным институциональным фактором справедливого развития. </w:t>
      </w:r>
      <w:proofErr w:type="gramStart"/>
      <w:r w:rsidRPr="00A76127">
        <w:rPr>
          <w:rFonts w:ascii="Times New Roman" w:hAnsi="Times New Roman" w:cs="Times New Roman"/>
          <w:sz w:val="24"/>
          <w:szCs w:val="24"/>
        </w:rPr>
        <w:t>Относительно связи политического режима и экономического роста существуют различные концептуальные подходы (от оптимистических до скептических); все же вопрос о характере развития заставляет более пристально посмотреть на роль не только политического режима, но и публичного управления.</w:t>
      </w:r>
      <w:proofErr w:type="gramEnd"/>
      <w:r w:rsidRPr="00A76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127">
        <w:rPr>
          <w:rFonts w:ascii="Times New Roman" w:hAnsi="Times New Roman" w:cs="Times New Roman"/>
          <w:sz w:val="24"/>
          <w:szCs w:val="24"/>
        </w:rPr>
        <w:t>Будет ли сопровождаться экономический рост положительными эффектами, принципиально не зависит от политического режима (современные режимы демократии и авторитаризма с одинаковым успехом могут способствовать экономическому росту), но будет ли экономический рост базироваться на социальных факторах (справедливость, уменьшение бедности, занятость, образование и т.д.) – это в значительной мере зависит от политической экономии развития, определяющей демократическую публичную политику и управление в качестве системного</w:t>
      </w:r>
      <w:proofErr w:type="gramEnd"/>
      <w:r w:rsidRPr="00A76127">
        <w:rPr>
          <w:rFonts w:ascii="Times New Roman" w:hAnsi="Times New Roman" w:cs="Times New Roman"/>
          <w:sz w:val="24"/>
          <w:szCs w:val="24"/>
        </w:rPr>
        <w:t xml:space="preserve"> элемента справедливого развития. Современные «инклюзивные развитые конкурентные государства» (а также новые конкурентные государства, такие как Индия и Китай) проводят смешанную стратегию относительно экономического роста и его механизмов: с одной стороны, отмечается стратегия развития капитала и </w:t>
      </w:r>
      <w:r w:rsidR="00A76127">
        <w:rPr>
          <w:rFonts w:ascii="Times New Roman" w:hAnsi="Times New Roman" w:cs="Times New Roman"/>
          <w:sz w:val="24"/>
          <w:szCs w:val="24"/>
        </w:rPr>
        <w:t>контроля над рынком</w:t>
      </w:r>
      <w:r w:rsidRPr="00A76127">
        <w:rPr>
          <w:rFonts w:ascii="Times New Roman" w:hAnsi="Times New Roman" w:cs="Times New Roman"/>
          <w:sz w:val="24"/>
          <w:szCs w:val="24"/>
        </w:rPr>
        <w:t>, с другой стороны, социальное инвестирование через публичную политику и программы становится фактором роста и развития. В этом отношении экономическое развитие не может измеряться без благосостояния и без государ</w:t>
      </w:r>
      <w:r w:rsidR="00A76127">
        <w:rPr>
          <w:rFonts w:ascii="Times New Roman" w:hAnsi="Times New Roman" w:cs="Times New Roman"/>
          <w:sz w:val="24"/>
          <w:szCs w:val="24"/>
        </w:rPr>
        <w:t>ственного производства услуг</w:t>
      </w:r>
      <w:r w:rsidRPr="00A76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999" w:rsidRDefault="001C1665" w:rsidP="00091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127">
        <w:rPr>
          <w:rFonts w:ascii="Times New Roman" w:hAnsi="Times New Roman" w:cs="Times New Roman"/>
          <w:sz w:val="24"/>
          <w:szCs w:val="24"/>
        </w:rPr>
        <w:t xml:space="preserve">Ясно, что современное публичное управление не может просто создавать внешние условия для экономического развития (типа, безопасности) или осуществлять в тех или иных пределах регулирование экономики; оно сталкивается с необходимостью стимулировать это развитие и инновации, формируя соответствующие институты и практики. В этом отношении современные трансформации государственного управления в странах БРИКС нацелены не только  на создание инвестиционных режимов, но и формирование комплексной политики справедливого экономического развития, которая бы увязывала структурно, </w:t>
      </w:r>
      <w:r w:rsidRPr="00A76127">
        <w:rPr>
          <w:rFonts w:ascii="Times New Roman" w:hAnsi="Times New Roman" w:cs="Times New Roman"/>
          <w:sz w:val="24"/>
          <w:szCs w:val="24"/>
        </w:rPr>
        <w:lastRenderedPageBreak/>
        <w:t>институционально, функционально справедливость и эффективность. Практика, например, проведения недели инноваций для публичного сектора в Бразилии стимулирует формирование инновационной культуры публичного сотрудничества.</w:t>
      </w:r>
      <w:r w:rsidRPr="00A76127">
        <w:rPr>
          <w:rFonts w:ascii="Times New Roman" w:hAnsi="Times New Roman" w:cs="Times New Roman"/>
          <w:sz w:val="24"/>
          <w:szCs w:val="24"/>
        </w:rPr>
        <w:t xml:space="preserve"> </w:t>
      </w:r>
      <w:r w:rsidRPr="00A76127">
        <w:rPr>
          <w:rFonts w:ascii="Times New Roman" w:hAnsi="Times New Roman" w:cs="Times New Roman"/>
          <w:sz w:val="24"/>
          <w:szCs w:val="24"/>
        </w:rPr>
        <w:t xml:space="preserve">Императивом административных реформ последнего десятилетия является ответ на вызов расширения состава участников принятия политических и административных решений за счет включения в этот процесс  граждан и их ассоциаций. Доверие, открытость, сотрудничество становятся условиями и правилами построения современного публичного управления. </w:t>
      </w:r>
    </w:p>
    <w:p w:rsidR="009B7999" w:rsidRPr="00BC5AF6" w:rsidRDefault="001C1665" w:rsidP="00794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127">
        <w:rPr>
          <w:rFonts w:ascii="Times New Roman" w:hAnsi="Times New Roman" w:cs="Times New Roman"/>
          <w:sz w:val="24"/>
          <w:szCs w:val="24"/>
        </w:rPr>
        <w:t xml:space="preserve">Все государства БРИКС отвечают на это формированием условий, которые бы включали в себя как новые политические дискуссионные и экспертные площадки, типа советов, общественных палат, форумов и т.д., так и формированием систем «открытого правительства» или «отрытых данных», расширяющего возможности государственно-общественного сотрудничества.  </w:t>
      </w:r>
      <w:r w:rsidRPr="00A76127">
        <w:rPr>
          <w:rFonts w:ascii="Times New Roman" w:hAnsi="Times New Roman" w:cs="Times New Roman"/>
          <w:sz w:val="24"/>
          <w:szCs w:val="24"/>
        </w:rPr>
        <w:t xml:space="preserve">Хотя в Индии, например, проблема формирования системы «открытого правительства» как института публичного управления является дискуссионной, однако создание платформы «открытые правительственные данные» и принятие ряда законов об информационных правах создает условия для более тесной кооперации граждан и государства, порождая конечно, свои противоречия и несогласованности. В 2005 г. Индийский Конгресс принял новый закон о праве на информацию. Этот закон снял ряд ограничений, налагаемых на </w:t>
      </w:r>
      <w:proofErr w:type="gramStart"/>
      <w:r w:rsidRPr="00A76127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A76127">
        <w:rPr>
          <w:rFonts w:ascii="Times New Roman" w:hAnsi="Times New Roman" w:cs="Times New Roman"/>
          <w:sz w:val="24"/>
          <w:szCs w:val="24"/>
        </w:rPr>
        <w:t xml:space="preserve"> на информацию, которые Верховный суд Индии посчитал препятствующим конституционному праву граждан на свободу слова. Принятый закон позволял индийским гражданам после номинальной оплаты и по определенной процедуре получать информацию от управленческих структур различного уровня власти. Закон повышал уровень </w:t>
      </w:r>
      <w:proofErr w:type="spellStart"/>
      <w:r w:rsidRPr="00A76127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A76127">
        <w:rPr>
          <w:rFonts w:ascii="Times New Roman" w:hAnsi="Times New Roman" w:cs="Times New Roman"/>
          <w:sz w:val="24"/>
          <w:szCs w:val="24"/>
        </w:rPr>
        <w:t xml:space="preserve"> органов власти и управления и обеспечивал граждан инструментами защиты своих прав и борьбы против коррупции. Исследователи подчеркивают, что, конечно, реализация этого закона особенно в сельской местности подвержена всяческим препятствиям и ограничениям, однако его прогрессивная роль в обществе никем не отрицается. В Китае современные административные трансформации осуществляются на основе идеи «продвижения плюрального управления» в противоположность таким принципам управления, как социальный контроль и </w:t>
      </w:r>
      <w:proofErr w:type="spellStart"/>
      <w:r w:rsidRPr="00A76127">
        <w:rPr>
          <w:rFonts w:ascii="Times New Roman" w:hAnsi="Times New Roman" w:cs="Times New Roman"/>
          <w:sz w:val="24"/>
          <w:szCs w:val="24"/>
        </w:rPr>
        <w:t>унитарность</w:t>
      </w:r>
      <w:proofErr w:type="spellEnd"/>
      <w:r w:rsidRPr="00A76127">
        <w:rPr>
          <w:rFonts w:ascii="Times New Roman" w:hAnsi="Times New Roman" w:cs="Times New Roman"/>
          <w:sz w:val="24"/>
          <w:szCs w:val="24"/>
        </w:rPr>
        <w:t xml:space="preserve">. В большей мере это касается допущения социальных услуг со стороны гражданских ассоциаций, чем прямое участие в публичном управлении, однако расширение функциональных границ НКО, признанных правом, признается условием развития «плюрального управления». В 2009 г. здесь были приняты правила, регулирующие доступ к информации. Хотя 80% информации все еще находится в руках </w:t>
      </w:r>
      <w:r w:rsidR="00A76127" w:rsidRPr="00A76127">
        <w:rPr>
          <w:rFonts w:ascii="Times New Roman" w:hAnsi="Times New Roman" w:cs="Times New Roman"/>
          <w:sz w:val="24"/>
          <w:szCs w:val="24"/>
        </w:rPr>
        <w:t>государства, и последнее осуще</w:t>
      </w:r>
      <w:r w:rsidRPr="00A76127">
        <w:rPr>
          <w:rFonts w:ascii="Times New Roman" w:hAnsi="Times New Roman" w:cs="Times New Roman"/>
          <w:sz w:val="24"/>
          <w:szCs w:val="24"/>
        </w:rPr>
        <w:t>с</w:t>
      </w:r>
      <w:r w:rsidR="00A76127" w:rsidRPr="00A76127">
        <w:rPr>
          <w:rFonts w:ascii="Times New Roman" w:hAnsi="Times New Roman" w:cs="Times New Roman"/>
          <w:sz w:val="24"/>
          <w:szCs w:val="24"/>
        </w:rPr>
        <w:t>т</w:t>
      </w:r>
      <w:r w:rsidRPr="00A76127">
        <w:rPr>
          <w:rFonts w:ascii="Times New Roman" w:hAnsi="Times New Roman" w:cs="Times New Roman"/>
          <w:sz w:val="24"/>
          <w:szCs w:val="24"/>
        </w:rPr>
        <w:t xml:space="preserve">вляет строгий контроль над </w:t>
      </w:r>
      <w:r w:rsidR="00A76127" w:rsidRPr="00A76127">
        <w:rPr>
          <w:rFonts w:ascii="Times New Roman" w:hAnsi="Times New Roman" w:cs="Times New Roman"/>
          <w:sz w:val="24"/>
          <w:szCs w:val="24"/>
        </w:rPr>
        <w:t>электронными сетями</w:t>
      </w:r>
      <w:r w:rsidRPr="00A76127">
        <w:rPr>
          <w:rFonts w:ascii="Times New Roman" w:hAnsi="Times New Roman" w:cs="Times New Roman"/>
          <w:sz w:val="24"/>
          <w:szCs w:val="24"/>
        </w:rPr>
        <w:t>, однако набирает популярность идея открытых данных</w:t>
      </w:r>
      <w:r w:rsidR="00A76127" w:rsidRPr="00A76127">
        <w:rPr>
          <w:rFonts w:ascii="Times New Roman" w:hAnsi="Times New Roman" w:cs="Times New Roman"/>
          <w:sz w:val="24"/>
          <w:szCs w:val="24"/>
        </w:rPr>
        <w:t xml:space="preserve"> и здесь. </w:t>
      </w:r>
      <w:r w:rsidRPr="00A76127">
        <w:rPr>
          <w:rFonts w:ascii="Times New Roman" w:hAnsi="Times New Roman" w:cs="Times New Roman"/>
          <w:sz w:val="24"/>
          <w:szCs w:val="24"/>
        </w:rPr>
        <w:t xml:space="preserve">В России с 2011 года развивается не только идея «открытого </w:t>
      </w:r>
      <w:r w:rsidRPr="00A76127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правительства», но и созданы значительные ресурсы для его функционирования. </w:t>
      </w:r>
      <w:r w:rsidR="00A76127">
        <w:rPr>
          <w:rFonts w:ascii="Times New Roman" w:hAnsi="Times New Roman" w:cs="Times New Roman"/>
          <w:sz w:val="24"/>
          <w:szCs w:val="24"/>
        </w:rPr>
        <w:t>В 2012 г. была запущена в интернет демонстрационная версия «Большого правительства». В настоящее время открытое правительство в России выполняет не только информационную функцию, но и решает задачи вовлечение граждан в дискуссию по публичным вопросам, развивает инициативу постановки на повестку дня актуальных проблем социаль</w:t>
      </w:r>
      <w:r w:rsidR="00BC5AF6">
        <w:rPr>
          <w:rFonts w:ascii="Times New Roman" w:hAnsi="Times New Roman" w:cs="Times New Roman"/>
          <w:sz w:val="24"/>
          <w:szCs w:val="24"/>
        </w:rPr>
        <w:t>ного и эко</w:t>
      </w:r>
      <w:r w:rsidR="00A76127">
        <w:rPr>
          <w:rFonts w:ascii="Times New Roman" w:hAnsi="Times New Roman" w:cs="Times New Roman"/>
          <w:sz w:val="24"/>
          <w:szCs w:val="24"/>
        </w:rPr>
        <w:t xml:space="preserve">номического развития, осуществляет оказание услуг населению вместе со специальной единой платформой оказания публичных услуг населению.  </w:t>
      </w:r>
      <w:r w:rsidRPr="00A76127">
        <w:rPr>
          <w:rFonts w:ascii="Times New Roman" w:hAnsi="Times New Roman" w:cs="Times New Roman"/>
          <w:sz w:val="24"/>
          <w:szCs w:val="24"/>
        </w:rPr>
        <w:t xml:space="preserve">Здесь есть ряд проблем и противоречий: не однородна сама структура «открытого правительства», оно используется часто для мобилизации, а не стимулирования, не сформирована культура сотрудничества и есть значительная доля недоверия к нему, как со стороны граждан, так и чиновников и политиков. Однако положительные эффекты также налицо при решении ряда социальных и экономических проблем на региональном и местном уровнях. В  2003 г. в Бразилии был учрежден институт Генерального контролера федерации в ранге министра, под руководством которого в 2004 г. был открыт Портал </w:t>
      </w:r>
      <w:proofErr w:type="spellStart"/>
      <w:r w:rsidRPr="00A76127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A76127">
        <w:rPr>
          <w:rFonts w:ascii="Times New Roman" w:hAnsi="Times New Roman" w:cs="Times New Roman"/>
          <w:sz w:val="24"/>
          <w:szCs w:val="24"/>
        </w:rPr>
        <w:t xml:space="preserve">, позволявший гражданам страны получать информацию о расходовании бюджетных средств. В 2009 г. законом предписывалось открывать подобные порталы в федеральных штатах и отдельных городах. В настоящее время Портал </w:t>
      </w:r>
      <w:proofErr w:type="spellStart"/>
      <w:r w:rsidRPr="00A76127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A76127">
        <w:rPr>
          <w:rFonts w:ascii="Times New Roman" w:hAnsi="Times New Roman" w:cs="Times New Roman"/>
          <w:sz w:val="24"/>
          <w:szCs w:val="24"/>
        </w:rPr>
        <w:t xml:space="preserve"> ежемесячно посещает более девятисот тысяч уникальных пользователей [10]. В сентябре 2011 г. Здесь был принят закон, который </w:t>
      </w:r>
      <w:proofErr w:type="spellStart"/>
      <w:r w:rsidRPr="00A76127">
        <w:rPr>
          <w:rFonts w:ascii="Times New Roman" w:hAnsi="Times New Roman" w:cs="Times New Roman"/>
          <w:sz w:val="24"/>
          <w:szCs w:val="24"/>
        </w:rPr>
        <w:t>институционализировал</w:t>
      </w:r>
      <w:proofErr w:type="spellEnd"/>
      <w:r w:rsidRPr="00A76127">
        <w:rPr>
          <w:rFonts w:ascii="Times New Roman" w:hAnsi="Times New Roman" w:cs="Times New Roman"/>
          <w:sz w:val="24"/>
          <w:szCs w:val="24"/>
        </w:rPr>
        <w:t xml:space="preserve"> Национальный план действий по формированию открытого правительства в стране, Межминистерский комитет по открытому правительству и Исполнительную группу этого комитета. Координирует эту работу Генеральный контроллер федерации. В результате в Бразилии  было принято несколько законов, регулирующих доступ к информации (2011), свободу информации (2012), создан портал открытых данных (2012). Вместе с тем отмечается слабая роль гражданских ассоциаций в этом движении за открытое правительство. В</w:t>
      </w:r>
      <w:r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Pr="00A76127">
        <w:rPr>
          <w:rFonts w:ascii="Times New Roman" w:hAnsi="Times New Roman" w:cs="Times New Roman"/>
          <w:sz w:val="24"/>
          <w:szCs w:val="24"/>
        </w:rPr>
        <w:t>ЮАР</w:t>
      </w:r>
      <w:r w:rsidR="00794A6A">
        <w:rPr>
          <w:rFonts w:ascii="Times New Roman" w:hAnsi="Times New Roman" w:cs="Times New Roman"/>
          <w:sz w:val="24"/>
          <w:szCs w:val="24"/>
        </w:rPr>
        <w:t xml:space="preserve"> с 2012 г.</w:t>
      </w:r>
      <w:r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9B7999">
        <w:rPr>
          <w:rFonts w:ascii="Times New Roman" w:hAnsi="Times New Roman" w:cs="Times New Roman"/>
          <w:sz w:val="24"/>
          <w:szCs w:val="24"/>
        </w:rPr>
        <w:t>в</w:t>
      </w:r>
      <w:r w:rsidR="009B7999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9B7999">
        <w:rPr>
          <w:rFonts w:ascii="Times New Roman" w:hAnsi="Times New Roman" w:cs="Times New Roman"/>
          <w:sz w:val="24"/>
          <w:szCs w:val="24"/>
        </w:rPr>
        <w:t>рамках</w:t>
      </w:r>
      <w:r w:rsidR="009B7999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9B7999">
        <w:rPr>
          <w:rFonts w:ascii="Times New Roman" w:hAnsi="Times New Roman" w:cs="Times New Roman"/>
          <w:sz w:val="24"/>
          <w:szCs w:val="24"/>
        </w:rPr>
        <w:t>национального</w:t>
      </w:r>
      <w:r w:rsidR="009B7999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9B7999">
        <w:rPr>
          <w:rFonts w:ascii="Times New Roman" w:hAnsi="Times New Roman" w:cs="Times New Roman"/>
          <w:sz w:val="24"/>
          <w:szCs w:val="24"/>
        </w:rPr>
        <w:t>плана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развития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до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2030</w:t>
      </w:r>
      <w:r w:rsidR="009B7999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ставятся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цели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использовать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движение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за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открытое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правительство</w:t>
      </w:r>
      <w:r w:rsidR="00BC5AF6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 xml:space="preserve">для того, чтобы повысить государственное единство посредством повышения качества публичных услуг, безопасности сообществ, эффективного управления государственными ресурсами и роста подотчетности. </w:t>
      </w:r>
      <w:r w:rsidR="00794A6A">
        <w:rPr>
          <w:rFonts w:ascii="Times New Roman" w:hAnsi="Times New Roman" w:cs="Times New Roman"/>
          <w:sz w:val="24"/>
          <w:szCs w:val="24"/>
        </w:rPr>
        <w:t xml:space="preserve">В 2015 г. Комитет по управлению развитием открытого правительства в ЮАР принял специальную декларацию </w:t>
      </w:r>
      <w:r w:rsidR="00794A6A" w:rsidRPr="00794A6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794A6A" w:rsidRPr="00794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4A6A">
        <w:rPr>
          <w:rFonts w:ascii="Times New Roman" w:hAnsi="Times New Roman" w:cs="Times New Roman"/>
          <w:sz w:val="24"/>
          <w:szCs w:val="24"/>
        </w:rPr>
        <w:t>Открытое</w:t>
      </w:r>
      <w:r w:rsidR="00794A6A" w:rsidRPr="00794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4A6A">
        <w:rPr>
          <w:rFonts w:ascii="Times New Roman" w:hAnsi="Times New Roman" w:cs="Times New Roman"/>
          <w:sz w:val="24"/>
          <w:szCs w:val="24"/>
        </w:rPr>
        <w:t>правительство</w:t>
      </w:r>
      <w:r w:rsidR="00794A6A" w:rsidRPr="00794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4A6A">
        <w:rPr>
          <w:rFonts w:ascii="Times New Roman" w:hAnsi="Times New Roman" w:cs="Times New Roman"/>
          <w:sz w:val="24"/>
          <w:szCs w:val="24"/>
        </w:rPr>
        <w:t>для</w:t>
      </w:r>
      <w:r w:rsidR="00794A6A" w:rsidRPr="00794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4A6A">
        <w:rPr>
          <w:rFonts w:ascii="Times New Roman" w:hAnsi="Times New Roman" w:cs="Times New Roman"/>
          <w:sz w:val="24"/>
          <w:szCs w:val="24"/>
        </w:rPr>
        <w:t>выполнения</w:t>
      </w:r>
      <w:r w:rsidR="00794A6A" w:rsidRPr="00794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4A6A">
        <w:rPr>
          <w:rFonts w:ascii="Times New Roman" w:hAnsi="Times New Roman" w:cs="Times New Roman"/>
          <w:sz w:val="24"/>
          <w:szCs w:val="24"/>
        </w:rPr>
        <w:t>задачи</w:t>
      </w:r>
      <w:r w:rsidR="00794A6A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794A6A" w:rsidRPr="00794A6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4A6A">
        <w:rPr>
          <w:rFonts w:ascii="Times New Roman" w:hAnsi="Times New Roman" w:cs="Times New Roman"/>
          <w:sz w:val="24"/>
          <w:szCs w:val="24"/>
        </w:rPr>
        <w:t>0 устойчивого развития»</w:t>
      </w:r>
      <w:r w:rsidR="00794A6A" w:rsidRPr="00794A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94A6A" w:rsidRPr="00794A6A">
        <w:rPr>
          <w:rFonts w:ascii="Times New Roman" w:hAnsi="Times New Roman" w:cs="Times New Roman"/>
          <w:sz w:val="24"/>
          <w:szCs w:val="24"/>
        </w:rPr>
        <w:t>T</w:t>
      </w:r>
      <w:r w:rsidR="009B7999" w:rsidRPr="00BC5AF6">
        <w:rPr>
          <w:rFonts w:ascii="Times New Roman" w:hAnsi="Times New Roman" w:cs="Times New Roman"/>
          <w:sz w:val="24"/>
          <w:szCs w:val="24"/>
        </w:rPr>
        <w:t xml:space="preserve"> </w:t>
      </w:r>
      <w:r w:rsidR="00BC5AF6">
        <w:rPr>
          <w:rFonts w:ascii="Times New Roman" w:hAnsi="Times New Roman" w:cs="Times New Roman"/>
          <w:sz w:val="24"/>
          <w:szCs w:val="24"/>
        </w:rPr>
        <w:t>Соответственно план ориентирован на борьбу с коррупцией и развитие способностей к интегрированной системе управления, развитие механизмов разумного вовлечения граждан в процесс оказания публичных услуг и в принятие политических решений, усиление подотчетности государственных служащих перед гражданами и сообществами.</w:t>
      </w:r>
    </w:p>
    <w:sectPr w:rsidR="009B7999" w:rsidRPr="00BC5AF6" w:rsidSect="00794A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C6" w:rsidRDefault="00AB43C6" w:rsidP="00091EC0">
      <w:pPr>
        <w:spacing w:after="0" w:line="240" w:lineRule="auto"/>
      </w:pPr>
      <w:r>
        <w:separator/>
      </w:r>
    </w:p>
  </w:endnote>
  <w:endnote w:type="continuationSeparator" w:id="0">
    <w:p w:rsidR="00AB43C6" w:rsidRDefault="00AB43C6" w:rsidP="0009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C6" w:rsidRDefault="00AB43C6" w:rsidP="00091EC0">
      <w:pPr>
        <w:spacing w:after="0" w:line="240" w:lineRule="auto"/>
      </w:pPr>
      <w:r>
        <w:separator/>
      </w:r>
    </w:p>
  </w:footnote>
  <w:footnote w:type="continuationSeparator" w:id="0">
    <w:p w:rsidR="00AB43C6" w:rsidRDefault="00AB43C6" w:rsidP="00091EC0">
      <w:pPr>
        <w:spacing w:after="0" w:line="240" w:lineRule="auto"/>
      </w:pPr>
      <w:r>
        <w:continuationSeparator/>
      </w:r>
    </w:p>
  </w:footnote>
  <w:footnote w:id="1">
    <w:p w:rsidR="00091EC0" w:rsidRPr="00091EC0" w:rsidRDefault="00091EC0">
      <w:pPr>
        <w:pStyle w:val="a4"/>
        <w:rPr>
          <w:rFonts w:ascii="Times New Roman" w:hAnsi="Times New Roman" w:cs="Times New Roman"/>
        </w:rPr>
      </w:pPr>
      <w:r w:rsidRPr="00091EC0">
        <w:rPr>
          <w:rStyle w:val="a6"/>
          <w:rFonts w:ascii="Times New Roman" w:hAnsi="Times New Roman" w:cs="Times New Roman"/>
        </w:rPr>
        <w:footnoteRef/>
      </w:r>
      <w:r w:rsidRPr="00091EC0">
        <w:rPr>
          <w:rFonts w:ascii="Times New Roman" w:hAnsi="Times New Roman" w:cs="Times New Roman"/>
        </w:rPr>
        <w:t xml:space="preserve"> Работа  выполнена по гранту РГНФ № 14-03-00816 «Управляемость и конкурентоспособность в условиях неопределенности: сравнительный анализ стран БРИКС».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3E"/>
    <w:rsid w:val="00091EC0"/>
    <w:rsid w:val="000C20B1"/>
    <w:rsid w:val="001C1665"/>
    <w:rsid w:val="00233511"/>
    <w:rsid w:val="004334C0"/>
    <w:rsid w:val="00725D54"/>
    <w:rsid w:val="00794A6A"/>
    <w:rsid w:val="0095753E"/>
    <w:rsid w:val="009B7999"/>
    <w:rsid w:val="00A76127"/>
    <w:rsid w:val="00AB43C6"/>
    <w:rsid w:val="00B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D54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091E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91E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1E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D54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091E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91E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1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88F5-139F-4E25-B23D-C3EF7B35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1314</Words>
  <Characters>9540</Characters>
  <Application>Microsoft Office Word</Application>
  <DocSecurity>0</DocSecurity>
  <Lines>144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2016-08-29T10:04:00Z</dcterms:created>
  <dcterms:modified xsi:type="dcterms:W3CDTF">2016-08-29T14:49:00Z</dcterms:modified>
</cp:coreProperties>
</file>