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E9" w:rsidRDefault="00B26DA6" w:rsidP="00B26DA6">
      <w:pPr>
        <w:pStyle w:val="a6"/>
        <w:spacing w:before="0" w:beforeAutospacing="0" w:after="0" w:afterAutospacing="0" w:line="360" w:lineRule="auto"/>
        <w:jc w:val="right"/>
        <w:textAlignment w:val="baseline"/>
        <w:rPr>
          <w:rStyle w:val="a8"/>
          <w:i w:val="0"/>
          <w:sz w:val="28"/>
          <w:szCs w:val="28"/>
          <w:bdr w:val="none" w:sz="0" w:space="0" w:color="auto" w:frame="1"/>
        </w:rPr>
      </w:pPr>
      <w:r w:rsidRPr="00B26DA6">
        <w:rPr>
          <w:rStyle w:val="a8"/>
          <w:bCs/>
          <w:i w:val="0"/>
          <w:sz w:val="28"/>
          <w:szCs w:val="28"/>
          <w:bdr w:val="none" w:sz="0" w:space="0" w:color="auto" w:frame="1"/>
        </w:rPr>
        <w:t xml:space="preserve">Ю. О. </w:t>
      </w:r>
      <w:proofErr w:type="spellStart"/>
      <w:r w:rsidR="00943CE9" w:rsidRPr="00B26DA6">
        <w:rPr>
          <w:rStyle w:val="a8"/>
          <w:bCs/>
          <w:i w:val="0"/>
          <w:sz w:val="28"/>
          <w:szCs w:val="28"/>
          <w:bdr w:val="none" w:sz="0" w:space="0" w:color="auto" w:frame="1"/>
        </w:rPr>
        <w:t>Неволенко</w:t>
      </w:r>
      <w:proofErr w:type="spellEnd"/>
      <w:r w:rsidR="00943CE9" w:rsidRPr="00B26DA6">
        <w:rPr>
          <w:rStyle w:val="a8"/>
          <w:bCs/>
          <w:i w:val="0"/>
          <w:sz w:val="28"/>
          <w:szCs w:val="28"/>
          <w:bdr w:val="none" w:sz="0" w:space="0" w:color="auto" w:frame="1"/>
        </w:rPr>
        <w:t xml:space="preserve"> </w:t>
      </w:r>
      <w:r w:rsidRPr="00B26DA6">
        <w:rPr>
          <w:sz w:val="28"/>
          <w:szCs w:val="28"/>
        </w:rPr>
        <w:t>(</w:t>
      </w:r>
      <w:r w:rsidR="00943CE9" w:rsidRPr="00B26DA6">
        <w:rPr>
          <w:rStyle w:val="a8"/>
          <w:i w:val="0"/>
          <w:sz w:val="28"/>
          <w:szCs w:val="28"/>
          <w:bdr w:val="none" w:sz="0" w:space="0" w:color="auto" w:frame="1"/>
        </w:rPr>
        <w:t>Санкт-Петербург</w:t>
      </w:r>
      <w:r w:rsidRPr="00B26DA6">
        <w:rPr>
          <w:rStyle w:val="a8"/>
          <w:i w:val="0"/>
          <w:sz w:val="28"/>
          <w:szCs w:val="28"/>
          <w:bdr w:val="none" w:sz="0" w:space="0" w:color="auto" w:frame="1"/>
        </w:rPr>
        <w:t>)</w:t>
      </w:r>
    </w:p>
    <w:p w:rsidR="00943CE9" w:rsidRPr="00B26DA6" w:rsidRDefault="00B26DA6" w:rsidP="00B26DA6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Конфликтность</w:t>
      </w:r>
      <w:r w:rsidR="00C52AC7">
        <w:rPr>
          <w:rFonts w:ascii="Times New Roman" w:hAnsi="Times New Roman" w:cs="Times New Roman"/>
          <w:sz w:val="28"/>
          <w:szCs w:val="28"/>
        </w:rPr>
        <w:t xml:space="preserve"> локальных режимов на примере муниципалитетов Ленинградской области</w:t>
      </w:r>
    </w:p>
    <w:p w:rsidR="0051653F" w:rsidRPr="0051653F" w:rsidRDefault="0051653F" w:rsidP="00B26DA6">
      <w:pPr>
        <w:spacing w:line="36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6DA6">
        <w:rPr>
          <w:rFonts w:ascii="Times New Roman" w:hAnsi="Times New Roman" w:cs="Times New Roman"/>
          <w:sz w:val="28"/>
          <w:szCs w:val="28"/>
        </w:rPr>
        <w:t>Работа представляет</w:t>
      </w:r>
      <w:r w:rsidRPr="0051653F">
        <w:rPr>
          <w:rFonts w:ascii="Times New Roman" w:hAnsi="Times New Roman" w:cs="Times New Roman"/>
          <w:sz w:val="28"/>
          <w:szCs w:val="28"/>
        </w:rPr>
        <w:t xml:space="preserve"> собой исследование  политических конфликтов и </w:t>
      </w:r>
      <w:proofErr w:type="spellStart"/>
      <w:r w:rsidRPr="0051653F">
        <w:rPr>
          <w:rFonts w:ascii="Times New Roman" w:hAnsi="Times New Roman" w:cs="Times New Roman"/>
          <w:sz w:val="28"/>
          <w:szCs w:val="28"/>
        </w:rPr>
        <w:t>конфликтогенности</w:t>
      </w:r>
      <w:proofErr w:type="spellEnd"/>
      <w:r w:rsidRPr="0051653F">
        <w:rPr>
          <w:rFonts w:ascii="Times New Roman" w:hAnsi="Times New Roman" w:cs="Times New Roman"/>
          <w:sz w:val="28"/>
          <w:szCs w:val="28"/>
        </w:rPr>
        <w:t xml:space="preserve"> муниципалитетов Ленинградской области с 2006 по 2015 год. В ка</w:t>
      </w:r>
      <w:r w:rsidRPr="0051653F">
        <w:rPr>
          <w:rFonts w:ascii="Times New Roman" w:hAnsi="Times New Roman" w:cs="Times New Roman"/>
          <w:bCs/>
          <w:sz w:val="28"/>
          <w:szCs w:val="28"/>
        </w:rPr>
        <w:t xml:space="preserve">честве теоретической базы исследования взята работа </w:t>
      </w:r>
      <w:proofErr w:type="spellStart"/>
      <w:r w:rsidRPr="0051653F">
        <w:rPr>
          <w:rFonts w:ascii="Times New Roman" w:hAnsi="Times New Roman" w:cs="Times New Roman"/>
          <w:bCs/>
          <w:sz w:val="28"/>
          <w:szCs w:val="28"/>
        </w:rPr>
        <w:t>Гельмана</w:t>
      </w:r>
      <w:proofErr w:type="spellEnd"/>
      <w:r w:rsidRPr="0051653F">
        <w:rPr>
          <w:rFonts w:ascii="Times New Roman" w:hAnsi="Times New Roman" w:cs="Times New Roman"/>
          <w:bCs/>
          <w:sz w:val="28"/>
          <w:szCs w:val="28"/>
        </w:rPr>
        <w:t xml:space="preserve"> В. Я. и </w:t>
      </w:r>
      <w:proofErr w:type="spellStart"/>
      <w:r w:rsidRPr="0051653F">
        <w:rPr>
          <w:rFonts w:ascii="Times New Roman" w:hAnsi="Times New Roman" w:cs="Times New Roman"/>
          <w:bCs/>
          <w:sz w:val="28"/>
          <w:szCs w:val="28"/>
        </w:rPr>
        <w:t>Рыженкова</w:t>
      </w:r>
      <w:proofErr w:type="spellEnd"/>
      <w:r w:rsidRPr="0051653F">
        <w:rPr>
          <w:rFonts w:ascii="Times New Roman" w:hAnsi="Times New Roman" w:cs="Times New Roman"/>
          <w:bCs/>
          <w:sz w:val="28"/>
          <w:szCs w:val="28"/>
        </w:rPr>
        <w:t xml:space="preserve"> С. И., где рассматриваются конфликты между локальными режимами (местное самоуправление) и Центром (государственная власть).</w:t>
      </w:r>
      <w:r w:rsidRPr="0051653F">
        <w:rPr>
          <w:rFonts w:ascii="Times New Roman" w:hAnsi="Times New Roman" w:cs="Times New Roman"/>
          <w:sz w:val="28"/>
          <w:szCs w:val="28"/>
        </w:rPr>
        <w:t>[2]</w:t>
      </w:r>
      <w:r w:rsidRPr="0051653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1653F">
        <w:rPr>
          <w:rFonts w:ascii="Times New Roman" w:hAnsi="Times New Roman" w:cs="Times New Roman"/>
          <w:sz w:val="28"/>
          <w:szCs w:val="28"/>
        </w:rPr>
        <w:t xml:space="preserve">Исследование конфликтности локальных режимов включает в себя выявление свершившихся конфликтов: </w:t>
      </w:r>
    </w:p>
    <w:p w:rsidR="0051653F" w:rsidRPr="0051653F" w:rsidRDefault="0051653F" w:rsidP="00AA7D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 xml:space="preserve">Аресты и отставки локальных </w:t>
      </w:r>
      <w:proofErr w:type="spellStart"/>
      <w:r w:rsidRPr="0051653F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</w:p>
    <w:p w:rsidR="0051653F" w:rsidRPr="0051653F" w:rsidRDefault="0051653F" w:rsidP="00AA7D56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Роспуск депутатов (чаще случается из-за внутренних противоречий локального режима)</w:t>
      </w: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А также факторов, влияющих на возникновение конфликтов:</w:t>
      </w:r>
    </w:p>
    <w:p w:rsidR="0051653F" w:rsidRPr="0051653F" w:rsidRDefault="0051653F" w:rsidP="00AA7D56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Невыполнение стратегических задач, поставленных Центром</w:t>
      </w:r>
    </w:p>
    <w:p w:rsidR="0051653F" w:rsidRPr="0051653F" w:rsidRDefault="0051653F" w:rsidP="00AA7D56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Протестная активность</w:t>
      </w:r>
    </w:p>
    <w:p w:rsidR="0051653F" w:rsidRPr="0051653F" w:rsidRDefault="0051653F" w:rsidP="00AA7D56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Появление оппозиционных сил в органах местного самоуправления</w:t>
      </w: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Под оппозиционными силами подразумевается несистемная оппозиция. Данные партии должны быть не только не представлены в региональном законодательном собрании, но и иметь политические интересы, существенно отличающиеся от интересов действующего правительства. Среди кандидатов на местных выборах Ленинградской области третьего созыва к несистемной оппозиции можно отнести представителей как правых политических взглядов (Демократический выбор, Яблоко), так и левых (Коммунисты России, РОТ Фронт).</w:t>
      </w: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 xml:space="preserve">Разработана авторская методика оценки конфликтности локальных режимов, где оцениваются в баллах свершившиеся конфликты на основе подсчёта числа конкретных событий в муниципалитете (арест, отставка </w:t>
      </w:r>
      <w:proofErr w:type="spellStart"/>
      <w:r w:rsidRPr="0051653F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51653F">
        <w:rPr>
          <w:rFonts w:ascii="Times New Roman" w:hAnsi="Times New Roman" w:cs="Times New Roman"/>
          <w:sz w:val="28"/>
          <w:szCs w:val="28"/>
        </w:rPr>
        <w:t xml:space="preserve">, роспуск депутатов) и потенциальная конфликтность, включающая в себя процент несистемной оппозиции от поданных заявок кандидатов на </w:t>
      </w:r>
      <w:r w:rsidRPr="0051653F">
        <w:rPr>
          <w:rFonts w:ascii="Times New Roman" w:hAnsi="Times New Roman" w:cs="Times New Roman"/>
          <w:sz w:val="28"/>
          <w:szCs w:val="28"/>
        </w:rPr>
        <w:lastRenderedPageBreak/>
        <w:t xml:space="preserve">местных выборах и  долю избрания несистемной оппозиции в совет депутатов, а также протестная активность. Свершившиеся конфликты оцениваются большим количеством баллов, чем факторы их формирования: </w:t>
      </w:r>
    </w:p>
    <w:p w:rsidR="0051653F" w:rsidRPr="0051653F" w:rsidRDefault="0051653F" w:rsidP="00AA7D56">
      <w:pPr>
        <w:numPr>
          <w:ilvl w:val="0"/>
          <w:numId w:val="5"/>
        </w:numPr>
        <w:tabs>
          <w:tab w:val="num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1 арест – 40 баллов</w:t>
      </w:r>
    </w:p>
    <w:p w:rsidR="0051653F" w:rsidRPr="0051653F" w:rsidRDefault="0051653F" w:rsidP="00AA7D56">
      <w:pPr>
        <w:numPr>
          <w:ilvl w:val="0"/>
          <w:numId w:val="5"/>
        </w:numPr>
        <w:tabs>
          <w:tab w:val="num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1 отставка – 30 баллов</w:t>
      </w:r>
    </w:p>
    <w:p w:rsidR="0051653F" w:rsidRPr="0051653F" w:rsidRDefault="0051653F" w:rsidP="00AA7D56">
      <w:pPr>
        <w:numPr>
          <w:ilvl w:val="0"/>
          <w:numId w:val="5"/>
        </w:numPr>
        <w:tabs>
          <w:tab w:val="num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1 роспуск депутатов – 20 баллов</w:t>
      </w:r>
    </w:p>
    <w:p w:rsidR="0051653F" w:rsidRPr="0051653F" w:rsidRDefault="0051653F" w:rsidP="00AA7D56">
      <w:pPr>
        <w:numPr>
          <w:ilvl w:val="0"/>
          <w:numId w:val="5"/>
        </w:numPr>
        <w:tabs>
          <w:tab w:val="num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% несистемной оппозиции на выборах от 0 до 100 баллов</w:t>
      </w:r>
    </w:p>
    <w:p w:rsidR="0051653F" w:rsidRPr="0051653F" w:rsidRDefault="0051653F" w:rsidP="00AA7D56">
      <w:pPr>
        <w:numPr>
          <w:ilvl w:val="0"/>
          <w:numId w:val="5"/>
        </w:numPr>
        <w:tabs>
          <w:tab w:val="num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 xml:space="preserve">% несистемной оппозиции в совете депутатов от 0 до 300 баллов </w:t>
      </w: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8000" cy="3320825"/>
            <wp:effectExtent l="19050" t="0" r="4050" b="0"/>
            <wp:docPr id="2" name="Рисунок 1" descr="Свершившиеся конфликты в 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ршившиеся конфликты в ЛО.jpg"/>
                    <pic:cNvPicPr/>
                  </pic:nvPicPr>
                  <pic:blipFill>
                    <a:blip r:embed="rId5"/>
                    <a:srcRect t="4930"/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33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Рисунок 1 "Свершившиеся конфликты в муниципалитетах Ленинградской области с 2006 по 2015 год"</w:t>
      </w: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 xml:space="preserve">Оценка протестной активности является адаптацией методики </w:t>
      </w:r>
      <w:proofErr w:type="spellStart"/>
      <w:r w:rsidRPr="0051653F">
        <w:rPr>
          <w:rFonts w:ascii="Times New Roman" w:hAnsi="Times New Roman" w:cs="Times New Roman"/>
          <w:sz w:val="28"/>
          <w:szCs w:val="28"/>
        </w:rPr>
        <w:t>Галустова</w:t>
      </w:r>
      <w:proofErr w:type="spellEnd"/>
      <w:r w:rsidRPr="0051653F">
        <w:rPr>
          <w:rFonts w:ascii="Times New Roman" w:hAnsi="Times New Roman" w:cs="Times New Roman"/>
          <w:sz w:val="28"/>
          <w:szCs w:val="28"/>
        </w:rPr>
        <w:t xml:space="preserve"> К. А.[1] по исследованию градостроительных и экологических протестов.  Помимо них, рассматриваются социально-экономические и оппозиционные протесты. Баллы начисляются в зависимости от числа акций и количества участников, исхода конфликта и освещения его в региональных или федеральных СМИ:</w:t>
      </w:r>
    </w:p>
    <w:p w:rsidR="0051653F" w:rsidRPr="0051653F" w:rsidRDefault="0051653F" w:rsidP="00AA7D56">
      <w:pPr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 xml:space="preserve"> Градостроительные – подавление 1 балл, урегулирование 2 балла, победа 3 балла</w:t>
      </w:r>
    </w:p>
    <w:p w:rsidR="0051653F" w:rsidRPr="0051653F" w:rsidRDefault="0051653F" w:rsidP="00AA7D56">
      <w:pPr>
        <w:numPr>
          <w:ilvl w:val="0"/>
          <w:numId w:val="6"/>
        </w:numPr>
        <w:tabs>
          <w:tab w:val="num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Социально-экономические - подавление 2 балл, урегулирование 4 балла, победа 6 баллов</w:t>
      </w:r>
    </w:p>
    <w:p w:rsidR="0051653F" w:rsidRPr="0051653F" w:rsidRDefault="0051653F" w:rsidP="00AA7D56">
      <w:pPr>
        <w:numPr>
          <w:ilvl w:val="0"/>
          <w:numId w:val="6"/>
        </w:numPr>
        <w:tabs>
          <w:tab w:val="num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Оппозиционные – 10 баллов</w:t>
      </w: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При численности участников протестных акции свыше тысячи человек баллы удваиваются, при упоминании протеста в федеральных СМИ баллы утраиваются.</w:t>
      </w: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8000" cy="3638535"/>
            <wp:effectExtent l="19050" t="0" r="4050" b="0"/>
            <wp:docPr id="1" name="Рисунок 0" descr="проте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ест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363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Рисунок 2 "Протестная активность в муниципалитетах Ленинградской области с 2006 по 2015 год"</w:t>
      </w: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Полученные первичные баллы для каждого муниципалитета переводятся в пятибалльную шкалу:</w:t>
      </w:r>
    </w:p>
    <w:p w:rsidR="0051653F" w:rsidRPr="0051653F" w:rsidRDefault="0051653F" w:rsidP="00AA7D56">
      <w:pPr>
        <w:numPr>
          <w:ilvl w:val="0"/>
          <w:numId w:val="4"/>
        </w:numPr>
        <w:tabs>
          <w:tab w:val="num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5 баллов (164-140)</w:t>
      </w:r>
    </w:p>
    <w:p w:rsidR="0051653F" w:rsidRPr="0051653F" w:rsidRDefault="0051653F" w:rsidP="00AA7D56">
      <w:pPr>
        <w:numPr>
          <w:ilvl w:val="0"/>
          <w:numId w:val="4"/>
        </w:numPr>
        <w:tabs>
          <w:tab w:val="num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4 балла (139-70)</w:t>
      </w:r>
    </w:p>
    <w:p w:rsidR="0051653F" w:rsidRPr="0051653F" w:rsidRDefault="0051653F" w:rsidP="00AA7D56">
      <w:pPr>
        <w:numPr>
          <w:ilvl w:val="0"/>
          <w:numId w:val="4"/>
        </w:numPr>
        <w:tabs>
          <w:tab w:val="num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3 балла (69-32)</w:t>
      </w:r>
    </w:p>
    <w:p w:rsidR="0051653F" w:rsidRPr="0051653F" w:rsidRDefault="0051653F" w:rsidP="00AA7D56">
      <w:pPr>
        <w:numPr>
          <w:ilvl w:val="0"/>
          <w:numId w:val="4"/>
        </w:numPr>
        <w:tabs>
          <w:tab w:val="num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2 балла (31-15)</w:t>
      </w:r>
    </w:p>
    <w:p w:rsidR="0051653F" w:rsidRPr="0051653F" w:rsidRDefault="0051653F" w:rsidP="00AA7D56">
      <w:pPr>
        <w:numPr>
          <w:ilvl w:val="0"/>
          <w:numId w:val="4"/>
        </w:numPr>
        <w:tabs>
          <w:tab w:val="num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1 балл( 14-1)</w:t>
      </w:r>
    </w:p>
    <w:p w:rsidR="0051653F" w:rsidRPr="0051653F" w:rsidRDefault="0051653F" w:rsidP="00AA7D56">
      <w:pPr>
        <w:numPr>
          <w:ilvl w:val="0"/>
          <w:numId w:val="4"/>
        </w:numPr>
        <w:tabs>
          <w:tab w:val="num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0 баллов (0)</w:t>
      </w: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На основе полученных результатов выявлены следующие закономерности:</w:t>
      </w:r>
    </w:p>
    <w:p w:rsidR="0051653F" w:rsidRPr="0051653F" w:rsidRDefault="0051653F" w:rsidP="00AA7D5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lastRenderedPageBreak/>
        <w:t xml:space="preserve">Конфликтность усиливается вблизи Санкт-Петербурга. Повышение числа конфликтов в пригородных муниципалитетах может быть связано с ростом конкуренции политических сил </w:t>
      </w:r>
    </w:p>
    <w:p w:rsidR="0051653F" w:rsidRPr="0051653F" w:rsidRDefault="0051653F" w:rsidP="00AA7D5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>Протестные настроения усиливаются как в зоне влияния Петербурга, так и зависят от локальных источников. Крупные предприятия и городские поселения являются основными источниками протестных настроений</w:t>
      </w:r>
    </w:p>
    <w:p w:rsidR="0051653F" w:rsidRPr="0051653F" w:rsidRDefault="0051653F" w:rsidP="00AA7D5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 xml:space="preserve">География арестов локальных </w:t>
      </w:r>
      <w:proofErr w:type="spellStart"/>
      <w:r w:rsidRPr="0051653F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51653F">
        <w:rPr>
          <w:rFonts w:ascii="Times New Roman" w:hAnsi="Times New Roman" w:cs="Times New Roman"/>
          <w:sz w:val="28"/>
          <w:szCs w:val="28"/>
        </w:rPr>
        <w:t xml:space="preserve"> частично совпадает с географией наиболее востребованных земельных участков Ленинградской области </w:t>
      </w:r>
    </w:p>
    <w:p w:rsidR="0051653F" w:rsidRPr="0051653F" w:rsidRDefault="0051653F" w:rsidP="00AA7D5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 xml:space="preserve">Интересы правой оппозиции сосредоточены в поселениях, приграничных Петербургу и в Выборге, а левой - в периферийных частях области </w:t>
      </w: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 xml:space="preserve">Подобная география объясняется моделью "центр-периферия", где в качестве основного ядра выступает Петербург и присутствуют </w:t>
      </w:r>
      <w:proofErr w:type="spellStart"/>
      <w:r w:rsidRPr="0051653F">
        <w:rPr>
          <w:rFonts w:ascii="Times New Roman" w:hAnsi="Times New Roman" w:cs="Times New Roman"/>
          <w:sz w:val="28"/>
          <w:szCs w:val="28"/>
        </w:rPr>
        <w:t>подцентры</w:t>
      </w:r>
      <w:proofErr w:type="spellEnd"/>
      <w:r w:rsidRPr="0051653F">
        <w:rPr>
          <w:rFonts w:ascii="Times New Roman" w:hAnsi="Times New Roman" w:cs="Times New Roman"/>
          <w:sz w:val="28"/>
          <w:szCs w:val="28"/>
        </w:rPr>
        <w:t xml:space="preserve"> локального значения.</w:t>
      </w: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 xml:space="preserve">К основному выводу исследования можно отнести влияние свойств территории на вероятность возникновения конфликтов между </w:t>
      </w:r>
      <w:proofErr w:type="spellStart"/>
      <w:r w:rsidRPr="0051653F"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 w:rsidRPr="0051653F">
        <w:rPr>
          <w:rFonts w:ascii="Times New Roman" w:hAnsi="Times New Roman" w:cs="Times New Roman"/>
          <w:sz w:val="28"/>
          <w:szCs w:val="28"/>
        </w:rPr>
        <w:t xml:space="preserve"> локальных режимов и Центром. </w:t>
      </w:r>
      <w:proofErr w:type="spellStart"/>
      <w:r w:rsidRPr="0051653F">
        <w:rPr>
          <w:rFonts w:ascii="Times New Roman" w:hAnsi="Times New Roman" w:cs="Times New Roman"/>
          <w:sz w:val="28"/>
          <w:szCs w:val="28"/>
        </w:rPr>
        <w:t>Конфликтогенность</w:t>
      </w:r>
      <w:proofErr w:type="spellEnd"/>
      <w:r w:rsidRPr="0051653F">
        <w:rPr>
          <w:rFonts w:ascii="Times New Roman" w:hAnsi="Times New Roman" w:cs="Times New Roman"/>
          <w:sz w:val="28"/>
          <w:szCs w:val="28"/>
        </w:rPr>
        <w:t xml:space="preserve"> территории также влияет на появление конфликтов населения с местной властью, так и на </w:t>
      </w:r>
      <w:proofErr w:type="spellStart"/>
      <w:r w:rsidRPr="0051653F">
        <w:rPr>
          <w:rFonts w:ascii="Times New Roman" w:hAnsi="Times New Roman" w:cs="Times New Roman"/>
          <w:sz w:val="28"/>
          <w:szCs w:val="28"/>
        </w:rPr>
        <w:t>внутриэлитные</w:t>
      </w:r>
      <w:proofErr w:type="spellEnd"/>
      <w:r w:rsidRPr="0051653F">
        <w:rPr>
          <w:rFonts w:ascii="Times New Roman" w:hAnsi="Times New Roman" w:cs="Times New Roman"/>
          <w:sz w:val="28"/>
          <w:szCs w:val="28"/>
        </w:rPr>
        <w:t xml:space="preserve"> конфликты. Для более комплексного изучения </w:t>
      </w:r>
      <w:proofErr w:type="spellStart"/>
      <w:r w:rsidRPr="0051653F">
        <w:rPr>
          <w:rFonts w:ascii="Times New Roman" w:hAnsi="Times New Roman" w:cs="Times New Roman"/>
          <w:sz w:val="28"/>
          <w:szCs w:val="28"/>
        </w:rPr>
        <w:t>конфликогенности</w:t>
      </w:r>
      <w:proofErr w:type="spellEnd"/>
      <w:r w:rsidRPr="0051653F">
        <w:rPr>
          <w:rFonts w:ascii="Times New Roman" w:hAnsi="Times New Roman" w:cs="Times New Roman"/>
          <w:sz w:val="28"/>
          <w:szCs w:val="28"/>
        </w:rPr>
        <w:t xml:space="preserve"> локальных режимов  следует рассматривать не только действия </w:t>
      </w:r>
      <w:proofErr w:type="spellStart"/>
      <w:r w:rsidRPr="0051653F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51653F">
        <w:rPr>
          <w:rFonts w:ascii="Times New Roman" w:hAnsi="Times New Roman" w:cs="Times New Roman"/>
          <w:sz w:val="28"/>
          <w:szCs w:val="28"/>
        </w:rPr>
        <w:t xml:space="preserve">, но и характеристики территории муниципалитета. </w:t>
      </w: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68000" cy="3782261"/>
            <wp:effectExtent l="19050" t="0" r="4050" b="0"/>
            <wp:docPr id="6" name="Рисунок 5" descr="Конфликтность локальных режимов в балл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фликтность локальных режимов в баллах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378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53F" w:rsidRPr="0051653F" w:rsidRDefault="0051653F" w:rsidP="00AA7D5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3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C3C2E">
        <w:rPr>
          <w:rFonts w:ascii="Times New Roman" w:hAnsi="Times New Roman" w:cs="Times New Roman"/>
          <w:sz w:val="28"/>
          <w:szCs w:val="28"/>
        </w:rPr>
        <w:t>3</w:t>
      </w:r>
      <w:r w:rsidRPr="0051653F">
        <w:rPr>
          <w:rFonts w:ascii="Times New Roman" w:hAnsi="Times New Roman" w:cs="Times New Roman"/>
          <w:sz w:val="28"/>
          <w:szCs w:val="28"/>
        </w:rPr>
        <w:t xml:space="preserve"> "Конфликтность локальных режимов Ленинградской области с 2006 по 2015 год"</w:t>
      </w:r>
    </w:p>
    <w:p w:rsidR="00154848" w:rsidRPr="00A5309A" w:rsidRDefault="00154848" w:rsidP="00154848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09A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1653F" w:rsidRPr="00154848" w:rsidRDefault="0051653F" w:rsidP="0015484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4848">
        <w:rPr>
          <w:rFonts w:ascii="Times New Roman" w:hAnsi="Times New Roman" w:cs="Times New Roman"/>
          <w:sz w:val="28"/>
          <w:szCs w:val="28"/>
        </w:rPr>
        <w:t>Галустов</w:t>
      </w:r>
      <w:proofErr w:type="spellEnd"/>
      <w:r w:rsidRPr="00154848">
        <w:rPr>
          <w:rFonts w:ascii="Times New Roman" w:hAnsi="Times New Roman" w:cs="Times New Roman"/>
          <w:sz w:val="28"/>
          <w:szCs w:val="28"/>
        </w:rPr>
        <w:t xml:space="preserve"> К. А. Пространственно-временные модели влияния экологического и </w:t>
      </w:r>
      <w:proofErr w:type="spellStart"/>
      <w:r w:rsidRPr="00154848">
        <w:rPr>
          <w:rFonts w:ascii="Times New Roman" w:hAnsi="Times New Roman" w:cs="Times New Roman"/>
          <w:sz w:val="28"/>
          <w:szCs w:val="28"/>
        </w:rPr>
        <w:t>экокультурного</w:t>
      </w:r>
      <w:proofErr w:type="spellEnd"/>
      <w:r w:rsidRPr="00154848">
        <w:rPr>
          <w:rFonts w:ascii="Times New Roman" w:hAnsi="Times New Roman" w:cs="Times New Roman"/>
          <w:sz w:val="28"/>
          <w:szCs w:val="28"/>
        </w:rPr>
        <w:t xml:space="preserve"> протеста на использование городского пространства на примере Ленинграда - Санкт-Петербурга // Материалы международной научно-практической конференции в рамках X Большого географического фестиваля студентов и молодых ученых, посвященной 100-летию со дня рождения Академика АН СССР, Президента Всесоюзного Географического общества, Героя Социалистического труда А.Ф. Трёшникова 11 апреля 2014 г / Институт Наук о Земле СПбГУ. - Санкт-Петербург, 2015.</w:t>
      </w:r>
    </w:p>
    <w:p w:rsidR="0051653F" w:rsidRPr="00154848" w:rsidRDefault="0051653F" w:rsidP="0015484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4848">
        <w:rPr>
          <w:rFonts w:ascii="Times New Roman" w:hAnsi="Times New Roman" w:cs="Times New Roman"/>
          <w:sz w:val="28"/>
          <w:szCs w:val="28"/>
        </w:rPr>
        <w:t>Гельман</w:t>
      </w:r>
      <w:proofErr w:type="spellEnd"/>
      <w:r w:rsidRPr="00154848">
        <w:rPr>
          <w:rFonts w:ascii="Times New Roman" w:hAnsi="Times New Roman" w:cs="Times New Roman"/>
          <w:sz w:val="28"/>
          <w:szCs w:val="28"/>
        </w:rPr>
        <w:t xml:space="preserve"> В. Я., </w:t>
      </w:r>
      <w:proofErr w:type="spellStart"/>
      <w:r w:rsidRPr="00154848">
        <w:rPr>
          <w:rFonts w:ascii="Times New Roman" w:hAnsi="Times New Roman" w:cs="Times New Roman"/>
          <w:sz w:val="28"/>
          <w:szCs w:val="28"/>
        </w:rPr>
        <w:t>Рыженков</w:t>
      </w:r>
      <w:proofErr w:type="spellEnd"/>
      <w:r w:rsidRPr="00154848">
        <w:rPr>
          <w:rFonts w:ascii="Times New Roman" w:hAnsi="Times New Roman" w:cs="Times New Roman"/>
          <w:sz w:val="28"/>
          <w:szCs w:val="28"/>
        </w:rPr>
        <w:t xml:space="preserve"> С. И. Локальные режимы, городское управление и «Вертикаль власти» в современной России // Политическая экспертиза: ПОЛИТЭКС. 2010. Т. 6. № 4. С. 130-151.</w:t>
      </w:r>
    </w:p>
    <w:p w:rsidR="003312AC" w:rsidRDefault="003312AC"/>
    <w:sectPr w:rsidR="003312AC" w:rsidSect="008057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3868"/>
    <w:multiLevelType w:val="hybridMultilevel"/>
    <w:tmpl w:val="6E46DC8C"/>
    <w:lvl w:ilvl="0" w:tplc="7E226530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816C8112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2C6692D8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0CEE5C3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9C423A9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56D49A7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F7C03B1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99EF9F6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1C1245D2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30CE05C8"/>
    <w:multiLevelType w:val="hybridMultilevel"/>
    <w:tmpl w:val="15EAFD24"/>
    <w:lvl w:ilvl="0" w:tplc="FC828C14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6C6E16DC" w:tentative="1">
      <w:start w:val="1"/>
      <w:numFmt w:val="bullet"/>
      <w:lvlText w:val="•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2" w:tplc="7840A884" w:tentative="1">
      <w:start w:val="1"/>
      <w:numFmt w:val="bullet"/>
      <w:lvlText w:val="•"/>
      <w:lvlJc w:val="left"/>
      <w:pPr>
        <w:tabs>
          <w:tab w:val="num" w:pos="2869"/>
        </w:tabs>
        <w:ind w:left="2869" w:hanging="360"/>
      </w:pPr>
      <w:rPr>
        <w:rFonts w:ascii="Arial" w:hAnsi="Arial" w:hint="default"/>
      </w:rPr>
    </w:lvl>
    <w:lvl w:ilvl="3" w:tplc="44A019D0" w:tentative="1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rFonts w:ascii="Arial" w:hAnsi="Arial" w:hint="default"/>
      </w:rPr>
    </w:lvl>
    <w:lvl w:ilvl="4" w:tplc="BC8A81DC" w:tentative="1">
      <w:start w:val="1"/>
      <w:numFmt w:val="bullet"/>
      <w:lvlText w:val="•"/>
      <w:lvlJc w:val="left"/>
      <w:pPr>
        <w:tabs>
          <w:tab w:val="num" w:pos="4309"/>
        </w:tabs>
        <w:ind w:left="4309" w:hanging="360"/>
      </w:pPr>
      <w:rPr>
        <w:rFonts w:ascii="Arial" w:hAnsi="Arial" w:hint="default"/>
      </w:rPr>
    </w:lvl>
    <w:lvl w:ilvl="5" w:tplc="68F60F4C" w:tentative="1">
      <w:start w:val="1"/>
      <w:numFmt w:val="bullet"/>
      <w:lvlText w:val="•"/>
      <w:lvlJc w:val="left"/>
      <w:pPr>
        <w:tabs>
          <w:tab w:val="num" w:pos="5029"/>
        </w:tabs>
        <w:ind w:left="5029" w:hanging="360"/>
      </w:pPr>
      <w:rPr>
        <w:rFonts w:ascii="Arial" w:hAnsi="Arial" w:hint="default"/>
      </w:rPr>
    </w:lvl>
    <w:lvl w:ilvl="6" w:tplc="3926C220" w:tentative="1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rFonts w:ascii="Arial" w:hAnsi="Arial" w:hint="default"/>
      </w:rPr>
    </w:lvl>
    <w:lvl w:ilvl="7" w:tplc="F3B867EC" w:tentative="1">
      <w:start w:val="1"/>
      <w:numFmt w:val="bullet"/>
      <w:lvlText w:val="•"/>
      <w:lvlJc w:val="left"/>
      <w:pPr>
        <w:tabs>
          <w:tab w:val="num" w:pos="6469"/>
        </w:tabs>
        <w:ind w:left="6469" w:hanging="360"/>
      </w:pPr>
      <w:rPr>
        <w:rFonts w:ascii="Arial" w:hAnsi="Arial" w:hint="default"/>
      </w:rPr>
    </w:lvl>
    <w:lvl w:ilvl="8" w:tplc="510CB8C8" w:tentative="1">
      <w:start w:val="1"/>
      <w:numFmt w:val="bullet"/>
      <w:lvlText w:val="•"/>
      <w:lvlJc w:val="left"/>
      <w:pPr>
        <w:tabs>
          <w:tab w:val="num" w:pos="7189"/>
        </w:tabs>
        <w:ind w:left="7189" w:hanging="360"/>
      </w:pPr>
      <w:rPr>
        <w:rFonts w:ascii="Arial" w:hAnsi="Arial" w:hint="default"/>
      </w:rPr>
    </w:lvl>
  </w:abstractNum>
  <w:abstractNum w:abstractNumId="2">
    <w:nsid w:val="37F1479E"/>
    <w:multiLevelType w:val="hybridMultilevel"/>
    <w:tmpl w:val="0048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42732"/>
    <w:multiLevelType w:val="hybridMultilevel"/>
    <w:tmpl w:val="C6BC9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8A3243"/>
    <w:multiLevelType w:val="hybridMultilevel"/>
    <w:tmpl w:val="0122DA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96E6F4C"/>
    <w:multiLevelType w:val="hybridMultilevel"/>
    <w:tmpl w:val="519C4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4467DB7"/>
    <w:multiLevelType w:val="hybridMultilevel"/>
    <w:tmpl w:val="52CCD9C4"/>
    <w:lvl w:ilvl="0" w:tplc="DA9417FA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5728FE0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8A8822C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6F381F5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DA78DC18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C38073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0CB86F0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7CA095B0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1B9A2A8E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653F"/>
    <w:rsid w:val="000C105C"/>
    <w:rsid w:val="00154848"/>
    <w:rsid w:val="00157E6E"/>
    <w:rsid w:val="0027342A"/>
    <w:rsid w:val="003312AC"/>
    <w:rsid w:val="003762A8"/>
    <w:rsid w:val="00484C1A"/>
    <w:rsid w:val="0051653F"/>
    <w:rsid w:val="0078669A"/>
    <w:rsid w:val="008003EE"/>
    <w:rsid w:val="00805716"/>
    <w:rsid w:val="008859F9"/>
    <w:rsid w:val="00943CE9"/>
    <w:rsid w:val="00A5309A"/>
    <w:rsid w:val="00AA7D56"/>
    <w:rsid w:val="00B26DA6"/>
    <w:rsid w:val="00C52AC7"/>
    <w:rsid w:val="00D40FF3"/>
    <w:rsid w:val="00FC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3F"/>
    <w:pPr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53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43CE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3CE9"/>
    <w:rPr>
      <w:b/>
      <w:bCs/>
    </w:rPr>
  </w:style>
  <w:style w:type="character" w:styleId="a8">
    <w:name w:val="Emphasis"/>
    <w:basedOn w:val="a0"/>
    <w:uiPriority w:val="20"/>
    <w:qFormat/>
    <w:rsid w:val="00943CE9"/>
    <w:rPr>
      <w:i/>
      <w:iCs/>
    </w:rPr>
  </w:style>
  <w:style w:type="character" w:customStyle="1" w:styleId="apple-converted-space">
    <w:name w:val="apple-converted-space"/>
    <w:basedOn w:val="a0"/>
    <w:rsid w:val="00943CE9"/>
  </w:style>
  <w:style w:type="character" w:styleId="a9">
    <w:name w:val="Hyperlink"/>
    <w:basedOn w:val="a0"/>
    <w:uiPriority w:val="99"/>
    <w:semiHidden/>
    <w:unhideWhenUsed/>
    <w:rsid w:val="00943C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668</Words>
  <Characters>4630</Characters>
  <Application>Microsoft Office Word</Application>
  <DocSecurity>0</DocSecurity>
  <Lines>107</Lines>
  <Paragraphs>47</Paragraphs>
  <ScaleCrop>false</ScaleCrop>
  <Company>Grizli777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14</cp:revision>
  <dcterms:created xsi:type="dcterms:W3CDTF">2016-07-20T15:09:00Z</dcterms:created>
  <dcterms:modified xsi:type="dcterms:W3CDTF">2016-08-27T18:13:00Z</dcterms:modified>
</cp:coreProperties>
</file>