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1AE" w:rsidRPr="00E42C4C" w:rsidRDefault="00FA51AE" w:rsidP="00FB74B5">
      <w:pPr>
        <w:widowControl w:val="0"/>
        <w:tabs>
          <w:tab w:val="left" w:pos="7655"/>
        </w:tabs>
        <w:spacing w:after="0" w:line="240" w:lineRule="auto"/>
        <w:contextualSpacing/>
        <w:jc w:val="right"/>
        <w:rPr>
          <w:rFonts w:ascii="Times New Roman" w:hAnsi="Times New Roman" w:cs="Times New Roman"/>
          <w:b/>
          <w:sz w:val="24"/>
          <w:szCs w:val="24"/>
        </w:rPr>
      </w:pPr>
      <w:r w:rsidRPr="00E42C4C">
        <w:rPr>
          <w:rFonts w:ascii="Times New Roman" w:hAnsi="Times New Roman" w:cs="Times New Roman"/>
          <w:b/>
          <w:sz w:val="24"/>
          <w:szCs w:val="24"/>
        </w:rPr>
        <w:t xml:space="preserve">Курячая Марина Михайловна, </w:t>
      </w:r>
    </w:p>
    <w:p w:rsidR="00FA51AE" w:rsidRPr="00E42C4C" w:rsidRDefault="00FA51AE" w:rsidP="00FB74B5">
      <w:pPr>
        <w:widowControl w:val="0"/>
        <w:tabs>
          <w:tab w:val="left" w:pos="7655"/>
        </w:tabs>
        <w:spacing w:after="0" w:line="240" w:lineRule="auto"/>
        <w:contextualSpacing/>
        <w:jc w:val="right"/>
        <w:rPr>
          <w:rFonts w:ascii="Times New Roman" w:hAnsi="Times New Roman" w:cs="Times New Roman"/>
          <w:i/>
          <w:sz w:val="24"/>
          <w:szCs w:val="24"/>
        </w:rPr>
      </w:pPr>
      <w:r w:rsidRPr="00E42C4C">
        <w:rPr>
          <w:rFonts w:ascii="Times New Roman" w:hAnsi="Times New Roman" w:cs="Times New Roman"/>
          <w:i/>
          <w:sz w:val="24"/>
          <w:szCs w:val="24"/>
        </w:rPr>
        <w:t>кандидат юридических наук, доцент,</w:t>
      </w:r>
    </w:p>
    <w:p w:rsidR="00FB74B5" w:rsidRPr="00E42C4C" w:rsidRDefault="00FA51AE" w:rsidP="00FB74B5">
      <w:pPr>
        <w:widowControl w:val="0"/>
        <w:tabs>
          <w:tab w:val="left" w:pos="7655"/>
        </w:tabs>
        <w:spacing w:after="0" w:line="240" w:lineRule="auto"/>
        <w:contextualSpacing/>
        <w:jc w:val="right"/>
        <w:rPr>
          <w:rFonts w:ascii="Times New Roman" w:hAnsi="Times New Roman" w:cs="Times New Roman"/>
          <w:i/>
          <w:sz w:val="24"/>
          <w:szCs w:val="24"/>
        </w:rPr>
      </w:pPr>
      <w:r w:rsidRPr="00E42C4C">
        <w:rPr>
          <w:rFonts w:ascii="Times New Roman" w:hAnsi="Times New Roman" w:cs="Times New Roman"/>
          <w:i/>
          <w:sz w:val="24"/>
          <w:szCs w:val="24"/>
        </w:rPr>
        <w:t>доцент кафедры конституционного и муниципального права</w:t>
      </w:r>
      <w:r w:rsidR="00FB74B5" w:rsidRPr="00E42C4C">
        <w:rPr>
          <w:rFonts w:ascii="Times New Roman" w:hAnsi="Times New Roman" w:cs="Times New Roman"/>
          <w:i/>
          <w:sz w:val="24"/>
          <w:szCs w:val="24"/>
        </w:rPr>
        <w:t xml:space="preserve"> </w:t>
      </w:r>
      <w:r w:rsidR="00FB74B5" w:rsidRPr="00E42C4C">
        <w:rPr>
          <w:rFonts w:ascii="Times New Roman" w:hAnsi="Times New Roman" w:cs="Times New Roman"/>
          <w:i/>
          <w:sz w:val="24"/>
          <w:szCs w:val="24"/>
        </w:rPr>
        <w:br/>
        <w:t>ФГБОУ ВО «Кубанский государственный университет»</w:t>
      </w:r>
    </w:p>
    <w:p w:rsidR="00E91605" w:rsidRPr="00E91605" w:rsidRDefault="00E91605" w:rsidP="00E91605">
      <w:pPr>
        <w:widowControl w:val="0"/>
        <w:tabs>
          <w:tab w:val="left" w:pos="7655"/>
        </w:tabs>
        <w:spacing w:after="0" w:line="240" w:lineRule="auto"/>
        <w:contextualSpacing/>
        <w:jc w:val="right"/>
        <w:rPr>
          <w:rFonts w:ascii="Times New Roman" w:hAnsi="Times New Roman" w:cs="Times New Roman"/>
          <w:b/>
          <w:color w:val="000000"/>
          <w:sz w:val="24"/>
          <w:szCs w:val="24"/>
          <w:shd w:val="clear" w:color="auto" w:fill="FFFFFF"/>
          <w:lang w:val="en-US"/>
        </w:rPr>
      </w:pPr>
      <w:proofErr w:type="spellStart"/>
      <w:r w:rsidRPr="00E91605">
        <w:rPr>
          <w:rFonts w:ascii="Times New Roman" w:hAnsi="Times New Roman" w:cs="Times New Roman"/>
          <w:b/>
          <w:color w:val="000000"/>
          <w:sz w:val="24"/>
          <w:szCs w:val="24"/>
          <w:shd w:val="clear" w:color="auto" w:fill="FFFFFF"/>
          <w:lang w:val="en-US"/>
        </w:rPr>
        <w:t>Kyuryachaya</w:t>
      </w:r>
      <w:proofErr w:type="spellEnd"/>
      <w:r w:rsidRPr="00E91605">
        <w:rPr>
          <w:rFonts w:ascii="Times New Roman" w:hAnsi="Times New Roman" w:cs="Times New Roman"/>
          <w:b/>
          <w:color w:val="000000"/>
          <w:sz w:val="24"/>
          <w:szCs w:val="24"/>
          <w:shd w:val="clear" w:color="auto" w:fill="FFFFFF"/>
          <w:lang w:val="en-US"/>
        </w:rPr>
        <w:t xml:space="preserve"> Marina </w:t>
      </w:r>
      <w:proofErr w:type="spellStart"/>
      <w:r w:rsidRPr="00E91605">
        <w:rPr>
          <w:rFonts w:ascii="Times New Roman" w:hAnsi="Times New Roman" w:cs="Times New Roman"/>
          <w:b/>
          <w:color w:val="000000"/>
          <w:sz w:val="24"/>
          <w:szCs w:val="24"/>
          <w:shd w:val="clear" w:color="auto" w:fill="FFFFFF"/>
          <w:lang w:val="en-US"/>
        </w:rPr>
        <w:t>Mikhailovna</w:t>
      </w:r>
      <w:proofErr w:type="spellEnd"/>
      <w:r w:rsidRPr="00E91605">
        <w:rPr>
          <w:rFonts w:ascii="Times New Roman" w:hAnsi="Times New Roman" w:cs="Times New Roman"/>
          <w:b/>
          <w:color w:val="000000"/>
          <w:sz w:val="24"/>
          <w:szCs w:val="24"/>
          <w:shd w:val="clear" w:color="auto" w:fill="FFFFFF"/>
          <w:lang w:val="en-US"/>
        </w:rPr>
        <w:t xml:space="preserve">, </w:t>
      </w:r>
    </w:p>
    <w:p w:rsidR="00E91605" w:rsidRPr="00E91605" w:rsidRDefault="00E91605" w:rsidP="00E91605">
      <w:pPr>
        <w:widowControl w:val="0"/>
        <w:tabs>
          <w:tab w:val="left" w:pos="7655"/>
        </w:tabs>
        <w:spacing w:after="0" w:line="240" w:lineRule="auto"/>
        <w:contextualSpacing/>
        <w:jc w:val="right"/>
        <w:rPr>
          <w:rFonts w:ascii="Times New Roman" w:hAnsi="Times New Roman" w:cs="Times New Roman"/>
          <w:color w:val="000000"/>
          <w:sz w:val="24"/>
          <w:szCs w:val="24"/>
          <w:shd w:val="clear" w:color="auto" w:fill="FFFFFF"/>
          <w:lang w:val="en-US"/>
        </w:rPr>
      </w:pPr>
      <w:r w:rsidRPr="00E91605">
        <w:rPr>
          <w:rFonts w:ascii="Times New Roman" w:hAnsi="Times New Roman" w:cs="Times New Roman"/>
          <w:color w:val="000000"/>
          <w:sz w:val="24"/>
          <w:szCs w:val="24"/>
          <w:shd w:val="clear" w:color="auto" w:fill="FFFFFF"/>
          <w:lang w:val="en-US"/>
        </w:rPr>
        <w:t>candidate of law, associate Professor,</w:t>
      </w:r>
    </w:p>
    <w:p w:rsidR="00E91605" w:rsidRPr="00E91605" w:rsidRDefault="00E91605" w:rsidP="00E91605">
      <w:pPr>
        <w:widowControl w:val="0"/>
        <w:tabs>
          <w:tab w:val="left" w:pos="7655"/>
        </w:tabs>
        <w:spacing w:after="0" w:line="240" w:lineRule="auto"/>
        <w:contextualSpacing/>
        <w:jc w:val="right"/>
        <w:rPr>
          <w:rFonts w:ascii="Times New Roman" w:hAnsi="Times New Roman" w:cs="Times New Roman"/>
          <w:color w:val="000000"/>
          <w:sz w:val="24"/>
          <w:szCs w:val="24"/>
          <w:shd w:val="clear" w:color="auto" w:fill="FFFFFF"/>
          <w:lang w:val="en-US"/>
        </w:rPr>
      </w:pPr>
      <w:r w:rsidRPr="00E91605">
        <w:rPr>
          <w:rFonts w:ascii="Times New Roman" w:hAnsi="Times New Roman" w:cs="Times New Roman"/>
          <w:color w:val="000000"/>
          <w:sz w:val="24"/>
          <w:szCs w:val="24"/>
          <w:shd w:val="clear" w:color="auto" w:fill="FFFFFF"/>
          <w:lang w:val="en-US"/>
        </w:rPr>
        <w:t xml:space="preserve">associate Professor of constitutional and municipal law </w:t>
      </w:r>
    </w:p>
    <w:p w:rsidR="00E91605" w:rsidRPr="00E91605" w:rsidRDefault="00E91605" w:rsidP="00E91605">
      <w:pPr>
        <w:widowControl w:val="0"/>
        <w:tabs>
          <w:tab w:val="left" w:pos="7655"/>
        </w:tabs>
        <w:spacing w:after="0" w:line="240" w:lineRule="auto"/>
        <w:contextualSpacing/>
        <w:jc w:val="right"/>
        <w:rPr>
          <w:rFonts w:ascii="Times New Roman" w:hAnsi="Times New Roman" w:cs="Times New Roman"/>
          <w:color w:val="000000"/>
          <w:sz w:val="24"/>
          <w:szCs w:val="24"/>
          <w:shd w:val="clear" w:color="auto" w:fill="FFFFFF"/>
          <w:lang w:val="en-US"/>
        </w:rPr>
      </w:pPr>
      <w:r w:rsidRPr="00E91605">
        <w:rPr>
          <w:rFonts w:ascii="Times New Roman" w:hAnsi="Times New Roman" w:cs="Times New Roman"/>
          <w:color w:val="000000"/>
          <w:sz w:val="24"/>
          <w:szCs w:val="24"/>
          <w:shd w:val="clear" w:color="auto" w:fill="FFFFFF"/>
          <w:lang w:val="en-US"/>
        </w:rPr>
        <w:t>Kuban state University</w:t>
      </w:r>
    </w:p>
    <w:p w:rsidR="00FA51AE" w:rsidRPr="00EC4C8E" w:rsidRDefault="00FA51AE" w:rsidP="00FB74B5">
      <w:pPr>
        <w:widowControl w:val="0"/>
        <w:tabs>
          <w:tab w:val="left" w:pos="7655"/>
        </w:tabs>
        <w:spacing w:after="0" w:line="240" w:lineRule="auto"/>
        <w:contextualSpacing/>
        <w:jc w:val="right"/>
        <w:rPr>
          <w:rFonts w:ascii="Times New Roman" w:hAnsi="Times New Roman" w:cs="Times New Roman"/>
          <w:b/>
          <w:sz w:val="24"/>
          <w:szCs w:val="24"/>
          <w:lang w:val="en-US"/>
        </w:rPr>
      </w:pPr>
      <w:r w:rsidRPr="00E42C4C">
        <w:rPr>
          <w:rFonts w:ascii="Times New Roman" w:hAnsi="Times New Roman" w:cs="Times New Roman"/>
          <w:b/>
          <w:sz w:val="24"/>
          <w:szCs w:val="24"/>
        </w:rPr>
        <w:t>Подгайная</w:t>
      </w:r>
      <w:r w:rsidRPr="00EC4C8E">
        <w:rPr>
          <w:rFonts w:ascii="Times New Roman" w:hAnsi="Times New Roman" w:cs="Times New Roman"/>
          <w:b/>
          <w:sz w:val="24"/>
          <w:szCs w:val="24"/>
          <w:lang w:val="en-US"/>
        </w:rPr>
        <w:t xml:space="preserve"> </w:t>
      </w:r>
      <w:r w:rsidRPr="00E42C4C">
        <w:rPr>
          <w:rFonts w:ascii="Times New Roman" w:hAnsi="Times New Roman" w:cs="Times New Roman"/>
          <w:b/>
          <w:sz w:val="24"/>
          <w:szCs w:val="24"/>
        </w:rPr>
        <w:t>Алена</w:t>
      </w:r>
      <w:r w:rsidRPr="00EC4C8E">
        <w:rPr>
          <w:rFonts w:ascii="Times New Roman" w:hAnsi="Times New Roman" w:cs="Times New Roman"/>
          <w:b/>
          <w:sz w:val="24"/>
          <w:szCs w:val="24"/>
          <w:lang w:val="en-US"/>
        </w:rPr>
        <w:t xml:space="preserve"> </w:t>
      </w:r>
      <w:r w:rsidRPr="00E42C4C">
        <w:rPr>
          <w:rFonts w:ascii="Times New Roman" w:hAnsi="Times New Roman" w:cs="Times New Roman"/>
          <w:b/>
          <w:sz w:val="24"/>
          <w:szCs w:val="24"/>
        </w:rPr>
        <w:t>Игоревна</w:t>
      </w:r>
      <w:r w:rsidRPr="00EC4C8E">
        <w:rPr>
          <w:rFonts w:ascii="Times New Roman" w:hAnsi="Times New Roman" w:cs="Times New Roman"/>
          <w:b/>
          <w:sz w:val="24"/>
          <w:szCs w:val="24"/>
          <w:lang w:val="en-US"/>
        </w:rPr>
        <w:t xml:space="preserve">, </w:t>
      </w:r>
    </w:p>
    <w:p w:rsidR="00FB74B5" w:rsidRPr="00E42C4C" w:rsidRDefault="00FA51AE" w:rsidP="00FB74B5">
      <w:pPr>
        <w:widowControl w:val="0"/>
        <w:tabs>
          <w:tab w:val="left" w:pos="7655"/>
        </w:tabs>
        <w:spacing w:after="0" w:line="240" w:lineRule="auto"/>
        <w:contextualSpacing/>
        <w:jc w:val="right"/>
        <w:rPr>
          <w:rFonts w:ascii="Times New Roman" w:hAnsi="Times New Roman" w:cs="Times New Roman"/>
          <w:i/>
          <w:sz w:val="24"/>
          <w:szCs w:val="24"/>
        </w:rPr>
      </w:pPr>
      <w:r w:rsidRPr="00E42C4C">
        <w:rPr>
          <w:rFonts w:ascii="Times New Roman" w:hAnsi="Times New Roman" w:cs="Times New Roman"/>
          <w:i/>
          <w:sz w:val="24"/>
          <w:szCs w:val="24"/>
        </w:rPr>
        <w:t xml:space="preserve">студентка юридического факультета им. А.А. Хмырова, </w:t>
      </w:r>
      <w:r w:rsidRPr="00E42C4C">
        <w:rPr>
          <w:rFonts w:ascii="Times New Roman" w:hAnsi="Times New Roman" w:cs="Times New Roman"/>
          <w:i/>
          <w:sz w:val="24"/>
          <w:szCs w:val="24"/>
        </w:rPr>
        <w:br/>
      </w:r>
      <w:r w:rsidR="00FB74B5" w:rsidRPr="00E42C4C">
        <w:rPr>
          <w:rFonts w:ascii="Times New Roman" w:hAnsi="Times New Roman" w:cs="Times New Roman"/>
          <w:i/>
          <w:sz w:val="24"/>
          <w:szCs w:val="24"/>
        </w:rPr>
        <w:t>ФГБОУ ВО «Кубанский государственный университет»</w:t>
      </w:r>
    </w:p>
    <w:p w:rsidR="00E91605" w:rsidRPr="00913389" w:rsidRDefault="00E91605" w:rsidP="00E91605">
      <w:pPr>
        <w:widowControl w:val="0"/>
        <w:tabs>
          <w:tab w:val="left" w:pos="7655"/>
        </w:tabs>
        <w:spacing w:after="0" w:line="240" w:lineRule="auto"/>
        <w:contextualSpacing/>
        <w:jc w:val="right"/>
        <w:rPr>
          <w:rFonts w:ascii="Times New Roman" w:hAnsi="Times New Roman" w:cs="Times New Roman"/>
          <w:b/>
          <w:i/>
          <w:color w:val="000000"/>
          <w:sz w:val="24"/>
          <w:szCs w:val="24"/>
          <w:shd w:val="clear" w:color="auto" w:fill="FFFFFF"/>
          <w:lang w:val="en-US"/>
        </w:rPr>
      </w:pPr>
      <w:proofErr w:type="spellStart"/>
      <w:r w:rsidRPr="00913389">
        <w:rPr>
          <w:rFonts w:ascii="Times New Roman" w:hAnsi="Times New Roman" w:cs="Times New Roman"/>
          <w:b/>
          <w:i/>
          <w:color w:val="000000"/>
          <w:sz w:val="24"/>
          <w:szCs w:val="24"/>
          <w:shd w:val="clear" w:color="auto" w:fill="FFFFFF"/>
          <w:lang w:val="en-US"/>
        </w:rPr>
        <w:t>Podgaynaya</w:t>
      </w:r>
      <w:proofErr w:type="spellEnd"/>
      <w:r w:rsidRPr="00913389">
        <w:rPr>
          <w:rFonts w:ascii="Times New Roman" w:hAnsi="Times New Roman" w:cs="Times New Roman"/>
          <w:b/>
          <w:i/>
          <w:color w:val="000000"/>
          <w:sz w:val="24"/>
          <w:szCs w:val="24"/>
          <w:shd w:val="clear" w:color="auto" w:fill="FFFFFF"/>
          <w:lang w:val="en-US"/>
        </w:rPr>
        <w:t xml:space="preserve"> Alena </w:t>
      </w:r>
      <w:proofErr w:type="spellStart"/>
      <w:r w:rsidRPr="00913389">
        <w:rPr>
          <w:rFonts w:ascii="Times New Roman" w:hAnsi="Times New Roman" w:cs="Times New Roman"/>
          <w:b/>
          <w:i/>
          <w:color w:val="000000"/>
          <w:sz w:val="24"/>
          <w:szCs w:val="24"/>
          <w:shd w:val="clear" w:color="auto" w:fill="FFFFFF"/>
          <w:lang w:val="en-US"/>
        </w:rPr>
        <w:t>Igorevna</w:t>
      </w:r>
      <w:proofErr w:type="spellEnd"/>
      <w:r w:rsidRPr="00913389">
        <w:rPr>
          <w:rFonts w:ascii="Times New Roman" w:hAnsi="Times New Roman" w:cs="Times New Roman"/>
          <w:b/>
          <w:i/>
          <w:color w:val="000000"/>
          <w:sz w:val="24"/>
          <w:szCs w:val="24"/>
          <w:shd w:val="clear" w:color="auto" w:fill="FFFFFF"/>
          <w:lang w:val="en-US"/>
        </w:rPr>
        <w:t xml:space="preserve">, </w:t>
      </w:r>
    </w:p>
    <w:p w:rsidR="00E91605" w:rsidRPr="00913389" w:rsidRDefault="00E91605" w:rsidP="00E91605">
      <w:pPr>
        <w:widowControl w:val="0"/>
        <w:tabs>
          <w:tab w:val="left" w:pos="7655"/>
        </w:tabs>
        <w:spacing w:after="0" w:line="240" w:lineRule="auto"/>
        <w:contextualSpacing/>
        <w:jc w:val="right"/>
        <w:rPr>
          <w:rFonts w:ascii="Times New Roman" w:hAnsi="Times New Roman" w:cs="Times New Roman"/>
          <w:i/>
          <w:color w:val="000000"/>
          <w:sz w:val="24"/>
          <w:szCs w:val="24"/>
          <w:shd w:val="clear" w:color="auto" w:fill="FFFFFF"/>
          <w:lang w:val="en-US"/>
        </w:rPr>
      </w:pPr>
      <w:r w:rsidRPr="00913389">
        <w:rPr>
          <w:rFonts w:ascii="Times New Roman" w:hAnsi="Times New Roman" w:cs="Times New Roman"/>
          <w:i/>
          <w:color w:val="000000"/>
          <w:sz w:val="24"/>
          <w:szCs w:val="24"/>
          <w:shd w:val="clear" w:color="auto" w:fill="FFFFFF"/>
          <w:lang w:val="en-US"/>
        </w:rPr>
        <w:t>student of the faculty of law</w:t>
      </w:r>
      <w:r w:rsidRPr="00913389">
        <w:rPr>
          <w:rFonts w:ascii="Times New Roman" w:hAnsi="Times New Roman" w:cs="Times New Roman"/>
          <w:i/>
          <w:color w:val="000000"/>
          <w:sz w:val="24"/>
          <w:szCs w:val="24"/>
          <w:shd w:val="clear" w:color="auto" w:fill="FFFFFF"/>
          <w:lang w:val="en-US"/>
        </w:rPr>
        <w:t xml:space="preserve"> </w:t>
      </w:r>
      <w:r w:rsidRPr="00913389">
        <w:rPr>
          <w:rFonts w:ascii="Times New Roman" w:hAnsi="Times New Roman" w:cs="Times New Roman"/>
          <w:i/>
          <w:color w:val="000000"/>
          <w:sz w:val="24"/>
          <w:szCs w:val="24"/>
          <w:shd w:val="clear" w:color="auto" w:fill="FFFFFF"/>
          <w:lang w:val="en-US"/>
        </w:rPr>
        <w:t>Kuban state University</w:t>
      </w:r>
    </w:p>
    <w:p w:rsidR="00E91605" w:rsidRPr="00E91605" w:rsidRDefault="00E91605" w:rsidP="00FB74B5">
      <w:pPr>
        <w:widowControl w:val="0"/>
        <w:tabs>
          <w:tab w:val="left" w:pos="7655"/>
        </w:tabs>
        <w:spacing w:after="0" w:line="240" w:lineRule="auto"/>
        <w:contextualSpacing/>
        <w:jc w:val="right"/>
        <w:rPr>
          <w:rFonts w:ascii="Times New Roman" w:hAnsi="Times New Roman" w:cs="Times New Roman"/>
          <w:color w:val="000000"/>
          <w:sz w:val="24"/>
          <w:szCs w:val="24"/>
          <w:shd w:val="clear" w:color="auto" w:fill="FFFFFF"/>
          <w:lang w:val="en-US"/>
        </w:rPr>
      </w:pPr>
    </w:p>
    <w:p w:rsidR="00091DE7" w:rsidRPr="00E42C4C" w:rsidRDefault="00E42C4C" w:rsidP="00FB74B5">
      <w:pPr>
        <w:widowControl w:val="0"/>
        <w:tabs>
          <w:tab w:val="left" w:pos="7655"/>
        </w:tabs>
        <w:spacing w:after="0" w:line="240" w:lineRule="auto"/>
        <w:contextualSpacing/>
        <w:jc w:val="center"/>
        <w:rPr>
          <w:rFonts w:ascii="Times New Roman" w:eastAsia="Times New Roman" w:hAnsi="Times New Roman" w:cs="Times New Roman"/>
          <w:b/>
          <w:sz w:val="24"/>
          <w:szCs w:val="24"/>
          <w:lang w:eastAsia="ru-RU"/>
        </w:rPr>
      </w:pPr>
      <w:r w:rsidRPr="00E42C4C">
        <w:rPr>
          <w:rFonts w:ascii="Times New Roman" w:hAnsi="Times New Roman" w:cs="Times New Roman"/>
          <w:b/>
          <w:color w:val="000000"/>
          <w:sz w:val="24"/>
          <w:szCs w:val="24"/>
          <w:shd w:val="clear" w:color="auto" w:fill="FFFFFF"/>
        </w:rPr>
        <w:t>К ВОПРОСУ О ПРЕДЕЛЬНОМ РАЗМЕРЕ СРЕДСТВ ИЗБИРАТЕЛЬНЫХ ФОНДОВ КАНДИДАТОВ НА ВЫБОРАХ ВЫСШИХ ДОЛЖНОСТНЫХ ЛИЦ СУБЪЕКТОВ РОССИЙСКОЙ ФЕДЕРАЦИИ (НА ПРИМЕРЕ ИЗБИРАТЕЛЬНЫХ КАМПАНИЙ 2018 ГОДА)</w:t>
      </w:r>
    </w:p>
    <w:p w:rsidR="00E44045" w:rsidRPr="00E42C4C" w:rsidRDefault="00E44045" w:rsidP="00FB74B5">
      <w:pPr>
        <w:widowControl w:val="0"/>
        <w:tabs>
          <w:tab w:val="left" w:pos="7655"/>
        </w:tabs>
        <w:spacing w:after="0" w:line="240" w:lineRule="auto"/>
        <w:contextualSpacing/>
        <w:jc w:val="center"/>
        <w:rPr>
          <w:rFonts w:ascii="Times New Roman" w:hAnsi="Times New Roman" w:cs="Times New Roman"/>
          <w:sz w:val="24"/>
          <w:szCs w:val="24"/>
        </w:rPr>
      </w:pPr>
    </w:p>
    <w:p w:rsidR="00555D11" w:rsidRPr="00E42C4C" w:rsidRDefault="00E42C4C" w:rsidP="00FB74B5">
      <w:pPr>
        <w:widowControl w:val="0"/>
        <w:tabs>
          <w:tab w:val="left" w:pos="7655"/>
        </w:tabs>
        <w:spacing w:after="0" w:line="240" w:lineRule="auto"/>
        <w:contextualSpacing/>
        <w:jc w:val="center"/>
        <w:rPr>
          <w:rFonts w:ascii="Times New Roman" w:hAnsi="Times New Roman" w:cs="Times New Roman"/>
          <w:b/>
          <w:color w:val="000000"/>
          <w:sz w:val="24"/>
          <w:szCs w:val="24"/>
          <w:shd w:val="clear" w:color="auto" w:fill="FFFFFF"/>
          <w:lang w:val="en-US"/>
        </w:rPr>
      </w:pPr>
      <w:r w:rsidRPr="00E42C4C">
        <w:rPr>
          <w:rFonts w:ascii="Times New Roman" w:hAnsi="Times New Roman" w:cs="Times New Roman"/>
          <w:b/>
          <w:color w:val="000000"/>
          <w:sz w:val="24"/>
          <w:szCs w:val="24"/>
          <w:shd w:val="clear" w:color="auto" w:fill="FFFFFF"/>
          <w:lang w:val="en-US"/>
        </w:rPr>
        <w:t>ON THE ISSUE OF THE MAXIMUM AMOUNT OF FUNDS OF ELECTION FUNDS OF CANDIDATES FOR ELECTIONS OF SENIOR OFFICIALS OF THE CONSTITUENT ENTITIES OF THE RUSSIAN FEDERATION (ON THE EXAMPLE OF ELECTION CAMPAIGNS IN 2018)</w:t>
      </w:r>
    </w:p>
    <w:p w:rsidR="00E746CB" w:rsidRPr="00E42C4C" w:rsidRDefault="00E746CB" w:rsidP="00555D11">
      <w:pPr>
        <w:widowControl w:val="0"/>
        <w:tabs>
          <w:tab w:val="left" w:pos="7655"/>
        </w:tabs>
        <w:spacing w:after="0" w:line="240" w:lineRule="auto"/>
        <w:contextualSpacing/>
        <w:jc w:val="center"/>
        <w:rPr>
          <w:rFonts w:ascii="Times New Roman" w:hAnsi="Times New Roman" w:cs="Times New Roman"/>
          <w:b/>
          <w:color w:val="000000"/>
          <w:sz w:val="24"/>
          <w:szCs w:val="24"/>
          <w:shd w:val="clear" w:color="auto" w:fill="FFFFFF"/>
          <w:lang w:val="en-US"/>
        </w:rPr>
      </w:pPr>
    </w:p>
    <w:p w:rsidR="00E42C4C" w:rsidRPr="00E42C4C" w:rsidRDefault="00E42C4C" w:rsidP="00E42C4C">
      <w:pPr>
        <w:widowControl w:val="0"/>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b/>
          <w:color w:val="000000" w:themeColor="text1"/>
          <w:sz w:val="24"/>
          <w:szCs w:val="24"/>
        </w:rPr>
        <w:t>Ключевые слова:</w:t>
      </w:r>
      <w:r w:rsidRPr="00E42C4C">
        <w:rPr>
          <w:rFonts w:ascii="Times New Roman" w:hAnsi="Times New Roman" w:cs="Times New Roman"/>
          <w:color w:val="000000" w:themeColor="text1"/>
          <w:sz w:val="24"/>
          <w:szCs w:val="24"/>
        </w:rPr>
        <w:t xml:space="preserve"> </w:t>
      </w:r>
      <w:r w:rsidRPr="00E42C4C">
        <w:rPr>
          <w:rFonts w:ascii="Times New Roman" w:eastAsia="Times New Roman" w:hAnsi="Times New Roman" w:cs="Times New Roman"/>
          <w:sz w:val="24"/>
          <w:szCs w:val="24"/>
          <w:lang w:eastAsia="ru-RU"/>
        </w:rPr>
        <w:t>непосредственная демократия, выборы, органы государственной власти, финансирование выборов, кандидат, избирательный фонд, расходы средств избирательного фонда.</w:t>
      </w:r>
    </w:p>
    <w:p w:rsidR="00FB74B5" w:rsidRPr="00E42C4C" w:rsidRDefault="00E42C4C" w:rsidP="00FB74B5">
      <w:pPr>
        <w:widowControl w:val="0"/>
        <w:spacing w:after="0" w:line="240" w:lineRule="auto"/>
        <w:ind w:firstLine="709"/>
        <w:jc w:val="both"/>
        <w:rPr>
          <w:rFonts w:ascii="Times New Roman" w:hAnsi="Times New Roman" w:cs="Times New Roman"/>
          <w:color w:val="000000" w:themeColor="text1"/>
          <w:sz w:val="24"/>
          <w:szCs w:val="24"/>
        </w:rPr>
      </w:pPr>
      <w:r w:rsidRPr="00E42C4C">
        <w:rPr>
          <w:rFonts w:ascii="Times New Roman" w:hAnsi="Times New Roman" w:cs="Times New Roman"/>
          <w:b/>
          <w:color w:val="000000" w:themeColor="text1"/>
          <w:sz w:val="24"/>
          <w:szCs w:val="24"/>
        </w:rPr>
        <w:t>Аннотация:</w:t>
      </w:r>
      <w:r>
        <w:rPr>
          <w:rFonts w:ascii="Times New Roman" w:hAnsi="Times New Roman" w:cs="Times New Roman"/>
          <w:color w:val="000000" w:themeColor="text1"/>
          <w:sz w:val="24"/>
          <w:szCs w:val="24"/>
        </w:rPr>
        <w:t xml:space="preserve"> н</w:t>
      </w:r>
      <w:r w:rsidR="00FB74B5" w:rsidRPr="00E42C4C">
        <w:rPr>
          <w:rFonts w:ascii="Times New Roman" w:hAnsi="Times New Roman" w:cs="Times New Roman"/>
          <w:color w:val="000000" w:themeColor="text1"/>
          <w:sz w:val="24"/>
          <w:szCs w:val="24"/>
        </w:rPr>
        <w:t>а примере избирательных кампаний по выборам высших должностных лиц субъектов Российской Федерации, прошедших в 2018 году, анализируются установленные законодательством субъектов РФ предельные размеры расходов средств избирательных фондов кандидатов, указываются на имеющиеся проблемы правового регулирования и предлагается реализовывать единый подход в данной сфере правового регулирования.</w:t>
      </w:r>
    </w:p>
    <w:p w:rsidR="00E42C4C" w:rsidRPr="00E42C4C" w:rsidRDefault="00E42C4C" w:rsidP="00E42C4C">
      <w:pPr>
        <w:widowControl w:val="0"/>
        <w:spacing w:after="0" w:line="240" w:lineRule="auto"/>
        <w:ind w:firstLine="709"/>
        <w:jc w:val="both"/>
        <w:rPr>
          <w:rFonts w:ascii="Times New Roman" w:eastAsia="Times New Roman" w:hAnsi="Times New Roman" w:cs="Times New Roman"/>
          <w:sz w:val="24"/>
          <w:szCs w:val="24"/>
          <w:lang w:val="en-US" w:eastAsia="ru-RU"/>
        </w:rPr>
      </w:pPr>
      <w:r w:rsidRPr="00E42C4C">
        <w:rPr>
          <w:rFonts w:ascii="Times New Roman" w:eastAsia="Times New Roman" w:hAnsi="Times New Roman" w:cs="Times New Roman"/>
          <w:b/>
          <w:i/>
          <w:sz w:val="24"/>
          <w:szCs w:val="24"/>
          <w:lang w:val="en-US" w:eastAsia="ru-RU"/>
        </w:rPr>
        <w:t>Keywords:</w:t>
      </w:r>
      <w:r w:rsidRPr="00E42C4C">
        <w:rPr>
          <w:rFonts w:ascii="Times New Roman" w:eastAsia="Times New Roman" w:hAnsi="Times New Roman" w:cs="Times New Roman"/>
          <w:sz w:val="24"/>
          <w:szCs w:val="24"/>
          <w:lang w:val="en-US" w:eastAsia="ru-RU"/>
        </w:rPr>
        <w:t xml:space="preserve"> direct democracy, elections, public authorities, election financing, candidate, election Fund, expenses of the election Fund.</w:t>
      </w:r>
    </w:p>
    <w:p w:rsidR="00FB74B5" w:rsidRPr="00E42C4C" w:rsidRDefault="00E42C4C" w:rsidP="00FB74B5">
      <w:pPr>
        <w:widowControl w:val="0"/>
        <w:spacing w:after="0" w:line="240" w:lineRule="auto"/>
        <w:ind w:firstLine="709"/>
        <w:jc w:val="both"/>
        <w:rPr>
          <w:rFonts w:ascii="Times New Roman" w:hAnsi="Times New Roman" w:cs="Times New Roman"/>
          <w:color w:val="000000" w:themeColor="text1"/>
          <w:sz w:val="24"/>
          <w:szCs w:val="24"/>
          <w:lang w:val="en-US"/>
        </w:rPr>
      </w:pPr>
      <w:r>
        <w:rPr>
          <w:rFonts w:ascii="Times New Roman" w:eastAsia="Times New Roman" w:hAnsi="Times New Roman" w:cs="Times New Roman"/>
          <w:b/>
          <w:sz w:val="24"/>
          <w:szCs w:val="24"/>
          <w:lang w:val="en-US" w:eastAsia="ru-RU"/>
        </w:rPr>
        <w:t>Abstract</w:t>
      </w:r>
      <w:r w:rsidRPr="00E42C4C">
        <w:rPr>
          <w:rFonts w:ascii="Times New Roman" w:eastAsia="Times New Roman" w:hAnsi="Times New Roman" w:cs="Times New Roman"/>
          <w:b/>
          <w:sz w:val="24"/>
          <w:szCs w:val="24"/>
          <w:lang w:val="en-US" w:eastAsia="ru-RU"/>
        </w:rPr>
        <w:t xml:space="preserve">: </w:t>
      </w:r>
      <w:r w:rsidR="00FB74B5" w:rsidRPr="00E42C4C">
        <w:rPr>
          <w:rFonts w:ascii="Times New Roman" w:eastAsia="Times New Roman" w:hAnsi="Times New Roman" w:cs="Times New Roman"/>
          <w:sz w:val="24"/>
          <w:szCs w:val="24"/>
          <w:lang w:val="en-US" w:eastAsia="ru-RU"/>
        </w:rPr>
        <w:t>On the example of election campaigns for the election of senior officials of the constituent entities of the Russian Federation held in 2018, the Authors analyze the limits set by the legislation of the constituent entities of the Russian Federation, indicate the existing problems of legal regulation and propose to implement a unified approach in this sphere of legal regulation.</w:t>
      </w:r>
    </w:p>
    <w:p w:rsidR="00FB74B5" w:rsidRPr="00E42C4C" w:rsidRDefault="00FB74B5" w:rsidP="00FB74B5">
      <w:pPr>
        <w:spacing w:after="0" w:line="240" w:lineRule="auto"/>
        <w:ind w:firstLine="709"/>
        <w:jc w:val="both"/>
        <w:rPr>
          <w:rFonts w:ascii="Times New Roman" w:hAnsi="Times New Roman" w:cs="Times New Roman"/>
          <w:sz w:val="24"/>
          <w:szCs w:val="24"/>
          <w:lang w:val="en-US"/>
        </w:rPr>
      </w:pPr>
    </w:p>
    <w:p w:rsidR="00716BEB" w:rsidRPr="00716BEB" w:rsidRDefault="00716BEB" w:rsidP="00716BEB">
      <w:pPr>
        <w:spacing w:after="0" w:line="240" w:lineRule="auto"/>
        <w:ind w:firstLine="709"/>
        <w:jc w:val="both"/>
        <w:rPr>
          <w:rFonts w:ascii="Times New Roman" w:hAnsi="Times New Roman" w:cs="Times New Roman"/>
          <w:sz w:val="24"/>
          <w:szCs w:val="24"/>
        </w:rPr>
      </w:pPr>
      <w:r w:rsidRPr="00716BEB">
        <w:rPr>
          <w:rFonts w:ascii="Times New Roman" w:hAnsi="Times New Roman" w:cs="Times New Roman"/>
          <w:sz w:val="24"/>
          <w:szCs w:val="24"/>
        </w:rPr>
        <w:t>Демократическое развитие любого государства строится на ряде базовых, общепризнанных принципов, среди которых особое место занимает принцип выборности органов публичной власти. Согласно Конституции Российской Федерации, многонациональный народ России является единственным источником власти, а свободные выборы – одной из форм непосредственного выражения народовластия. В этой связи процедуры формирования органов государственной власти и органов местного самоуправления, эффективность правового регулирования, совершенствование механизмов реализации воли народа являются одним из актуальных направлений исследований конституционно-правовой науки.</w:t>
      </w:r>
    </w:p>
    <w:p w:rsidR="00716BEB" w:rsidRPr="00716BEB" w:rsidRDefault="00716BEB" w:rsidP="00716BEB">
      <w:pPr>
        <w:spacing w:after="0" w:line="240" w:lineRule="auto"/>
        <w:ind w:firstLine="709"/>
        <w:jc w:val="both"/>
        <w:rPr>
          <w:rFonts w:ascii="Times New Roman" w:hAnsi="Times New Roman" w:cs="Times New Roman"/>
          <w:sz w:val="24"/>
          <w:szCs w:val="24"/>
        </w:rPr>
      </w:pPr>
      <w:r w:rsidRPr="00716BEB">
        <w:rPr>
          <w:rFonts w:ascii="Times New Roman" w:hAnsi="Times New Roman" w:cs="Times New Roman"/>
          <w:sz w:val="24"/>
          <w:szCs w:val="24"/>
        </w:rPr>
        <w:t xml:space="preserve">Участие кандидатов и избирательных объединений в выборах в подавляющем большинстве случаев сопряжено с материальными затратами в целях получения ими определенного результата на выборах, то есть с финансированием их избирательных </w:t>
      </w:r>
      <w:r w:rsidRPr="00716BEB">
        <w:rPr>
          <w:rFonts w:ascii="Times New Roman" w:hAnsi="Times New Roman" w:cs="Times New Roman"/>
          <w:sz w:val="24"/>
          <w:szCs w:val="24"/>
        </w:rPr>
        <w:lastRenderedPageBreak/>
        <w:t>кампаний через специальный избирательно-финансовый институт – институт избирательных фондов кандидатов (избирательных объединений). В соответствии с Федеральным законом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создание избирательных фондов является обязательным. Формирование избирательного фонда имеет своей целью финансирование избирательной кампании кандидата, то есть в конечном итоге оно направлено на достижение определенного результата на выборах посредством расходования денежных средств избирательного фонда. Право кандидатов на выборах в органы местного самоуправления, баллотирующихся в округе с числом избирателей менее 5000, и уведомивших организующую выборы избирательную комиссию об отказе от финансирования своей избирательной кампании не создавать избирательный фонд (либо финансировать свою кампанию без открытия специального счета избирательного фонда на выборах глав сельских поселений, если размер расходов не превышает 5000 руб.) рассматривается нами как льготный правовой режим финансирования избирательной кампании для кандидатов на муниципальных выборах. Очевидно, что даже отказавшийся от финансирования избирательной кампании кандидат несет затраты по материально-техническому обеспечению своего участия в выборах (изготовление документов для выдвижения и регистрации, изготовление подписных листов, сбор подписей и их представление в избирательную комиссию, представление сведений и фотографии для размещения избирательной комиссией в помещении для голосования), однако возлагаемые на кандидата обязанности по открытию, ведению, отчетности по средствам избирательного фонда на фоне возможного объема финансирования являются явно несоразмерными для данного уровня выборов. Сущность такого льготного правового режима финансирования избирательной кампании на муниципальных выборах состоит не в исключении из общего принципа финансирования избирательной кампании только за счет средств избирательного фонда, а в освобождении кандидата от дополнительных обязанностей, которые значительно осложняют ведение им избирательной кампании в условиях, когда он декларирует отказ от существенных с точки зрения практики финансирования выборов расходов (предвыборная агитация через средства массовой информации, изготовление печатных агитационных материалов, широкое привлечение граждан для выполнения оплачиваемой работы в целях избрания кандидата и т.п.).</w:t>
      </w:r>
    </w:p>
    <w:p w:rsidR="00604823" w:rsidRPr="00E42C4C" w:rsidRDefault="00604823"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 xml:space="preserve">Институт финансирования выборов, в том числе финансирования избирательной кампании кандидата или избирательного объединения, является одним из </w:t>
      </w:r>
      <w:r w:rsidR="000E72A1" w:rsidRPr="00E42C4C">
        <w:rPr>
          <w:rFonts w:ascii="Times New Roman" w:hAnsi="Times New Roman" w:cs="Times New Roman"/>
          <w:sz w:val="24"/>
          <w:szCs w:val="24"/>
        </w:rPr>
        <w:t xml:space="preserve">важнейших институтов избирательного права. Нормы о создании, формировании и расходовании средств избирательных фондов </w:t>
      </w:r>
      <w:r w:rsidR="00AB7D0E" w:rsidRPr="00E42C4C">
        <w:rPr>
          <w:rFonts w:ascii="Times New Roman" w:hAnsi="Times New Roman" w:cs="Times New Roman"/>
          <w:sz w:val="24"/>
          <w:szCs w:val="24"/>
        </w:rPr>
        <w:t xml:space="preserve">гарантируют прозрачность и законность финансирования деятельности, направленной на избрание кандидатов, создают равные для всех кандидатов и избирательных объединений условия для организации избирательной кампании, </w:t>
      </w:r>
      <w:r w:rsidR="001664C6" w:rsidRPr="00E42C4C">
        <w:rPr>
          <w:rFonts w:ascii="Times New Roman" w:hAnsi="Times New Roman" w:cs="Times New Roman"/>
          <w:sz w:val="24"/>
          <w:szCs w:val="24"/>
        </w:rPr>
        <w:t>обеспечивают невмешательство иностранного элемента в реализацию избирательных прав граждан</w:t>
      </w:r>
      <w:r w:rsidR="004E40F8" w:rsidRPr="00E42C4C">
        <w:rPr>
          <w:rFonts w:ascii="Times New Roman" w:hAnsi="Times New Roman" w:cs="Times New Roman"/>
          <w:sz w:val="24"/>
          <w:szCs w:val="24"/>
        </w:rPr>
        <w:t>. В связи с этим избирательное законодательство должно обеспечивать такие условия финансирования выборов, которые позволяют максимально эффективно достичь указанных целей и не создают для участников избирательного процесса несоразмерных ограничений в реализации их права избирать и быть избранными.</w:t>
      </w:r>
    </w:p>
    <w:p w:rsidR="00730B6E" w:rsidRPr="00E42C4C" w:rsidRDefault="00540A86"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С</w:t>
      </w:r>
      <w:r w:rsidR="00181892" w:rsidRPr="00E42C4C">
        <w:rPr>
          <w:rFonts w:ascii="Times New Roman" w:hAnsi="Times New Roman" w:cs="Times New Roman"/>
          <w:sz w:val="24"/>
          <w:szCs w:val="24"/>
        </w:rPr>
        <w:t xml:space="preserve">оздание избирательного фонда </w:t>
      </w:r>
      <w:r w:rsidRPr="00E42C4C">
        <w:rPr>
          <w:rFonts w:ascii="Times New Roman" w:hAnsi="Times New Roman" w:cs="Times New Roman"/>
          <w:sz w:val="24"/>
          <w:szCs w:val="24"/>
        </w:rPr>
        <w:t xml:space="preserve">с запретом финансирования избирательной кампании иначе как через </w:t>
      </w:r>
      <w:r w:rsidR="002F5FDF" w:rsidRPr="00E42C4C">
        <w:rPr>
          <w:rFonts w:ascii="Times New Roman" w:hAnsi="Times New Roman" w:cs="Times New Roman"/>
          <w:sz w:val="24"/>
          <w:szCs w:val="24"/>
        </w:rPr>
        <w:t xml:space="preserve">избирательный </w:t>
      </w:r>
      <w:r w:rsidRPr="00E42C4C">
        <w:rPr>
          <w:rFonts w:ascii="Times New Roman" w:hAnsi="Times New Roman" w:cs="Times New Roman"/>
          <w:sz w:val="24"/>
          <w:szCs w:val="24"/>
        </w:rPr>
        <w:t xml:space="preserve">фонд направлено на </w:t>
      </w:r>
      <w:r w:rsidR="00181892" w:rsidRPr="00E42C4C">
        <w:rPr>
          <w:rFonts w:ascii="Times New Roman" w:hAnsi="Times New Roman" w:cs="Times New Roman"/>
          <w:sz w:val="24"/>
          <w:szCs w:val="24"/>
        </w:rPr>
        <w:t>достижение определенного результата на выборах</w:t>
      </w:r>
      <w:r w:rsidR="002F5FDF" w:rsidRPr="00E42C4C">
        <w:rPr>
          <w:rFonts w:ascii="Times New Roman" w:hAnsi="Times New Roman" w:cs="Times New Roman"/>
          <w:sz w:val="24"/>
          <w:szCs w:val="24"/>
        </w:rPr>
        <w:t xml:space="preserve">, поэтому </w:t>
      </w:r>
      <w:r w:rsidR="002D47E1" w:rsidRPr="00E42C4C">
        <w:rPr>
          <w:rFonts w:ascii="Times New Roman" w:hAnsi="Times New Roman" w:cs="Times New Roman"/>
          <w:sz w:val="24"/>
          <w:szCs w:val="24"/>
        </w:rPr>
        <w:t>несмотря на денежную природу</w:t>
      </w:r>
      <w:r w:rsidR="00BD5ED0" w:rsidRPr="00E42C4C">
        <w:rPr>
          <w:rFonts w:ascii="Times New Roman" w:hAnsi="Times New Roman" w:cs="Times New Roman"/>
          <w:sz w:val="24"/>
          <w:szCs w:val="24"/>
        </w:rPr>
        <w:t xml:space="preserve"> финан</w:t>
      </w:r>
      <w:r w:rsidR="00394D14" w:rsidRPr="00E42C4C">
        <w:rPr>
          <w:rFonts w:ascii="Times New Roman" w:hAnsi="Times New Roman" w:cs="Times New Roman"/>
          <w:sz w:val="24"/>
          <w:szCs w:val="24"/>
        </w:rPr>
        <w:t>совых отношений</w:t>
      </w:r>
      <w:r w:rsidR="002D47E1" w:rsidRPr="00E42C4C">
        <w:rPr>
          <w:rFonts w:ascii="Times New Roman" w:hAnsi="Times New Roman" w:cs="Times New Roman"/>
          <w:sz w:val="24"/>
          <w:szCs w:val="24"/>
        </w:rPr>
        <w:t xml:space="preserve"> </w:t>
      </w:r>
      <w:r w:rsidR="002F5FDF" w:rsidRPr="00E42C4C">
        <w:rPr>
          <w:rFonts w:ascii="Times New Roman" w:hAnsi="Times New Roman" w:cs="Times New Roman"/>
          <w:sz w:val="24"/>
          <w:szCs w:val="24"/>
        </w:rPr>
        <w:t xml:space="preserve">в регулировании </w:t>
      </w:r>
      <w:r w:rsidR="00987087" w:rsidRPr="00E42C4C">
        <w:rPr>
          <w:rFonts w:ascii="Times New Roman" w:hAnsi="Times New Roman" w:cs="Times New Roman"/>
          <w:sz w:val="24"/>
          <w:szCs w:val="24"/>
        </w:rPr>
        <w:t xml:space="preserve">данных </w:t>
      </w:r>
      <w:r w:rsidR="002F5FDF" w:rsidRPr="00E42C4C">
        <w:rPr>
          <w:rFonts w:ascii="Times New Roman" w:hAnsi="Times New Roman" w:cs="Times New Roman"/>
          <w:sz w:val="24"/>
          <w:szCs w:val="24"/>
        </w:rPr>
        <w:t xml:space="preserve">вопросов </w:t>
      </w:r>
      <w:r w:rsidR="002D47E1" w:rsidRPr="00E42C4C">
        <w:rPr>
          <w:rFonts w:ascii="Times New Roman" w:hAnsi="Times New Roman" w:cs="Times New Roman"/>
          <w:sz w:val="24"/>
          <w:szCs w:val="24"/>
        </w:rPr>
        <w:t xml:space="preserve">публично-правовые начала преобладают перед </w:t>
      </w:r>
      <w:proofErr w:type="gramStart"/>
      <w:r w:rsidR="002D47E1" w:rsidRPr="00E42C4C">
        <w:rPr>
          <w:rFonts w:ascii="Times New Roman" w:hAnsi="Times New Roman" w:cs="Times New Roman"/>
          <w:sz w:val="24"/>
          <w:szCs w:val="24"/>
        </w:rPr>
        <w:t>частно-правовыми</w:t>
      </w:r>
      <w:proofErr w:type="gramEnd"/>
      <w:r w:rsidR="002D47E1" w:rsidRPr="00E42C4C">
        <w:rPr>
          <w:rFonts w:ascii="Times New Roman" w:hAnsi="Times New Roman" w:cs="Times New Roman"/>
          <w:sz w:val="24"/>
          <w:szCs w:val="24"/>
        </w:rPr>
        <w:t>.</w:t>
      </w:r>
      <w:r w:rsidR="00BD5ED0" w:rsidRPr="00E42C4C">
        <w:rPr>
          <w:rFonts w:ascii="Times New Roman" w:hAnsi="Times New Roman" w:cs="Times New Roman"/>
          <w:sz w:val="24"/>
          <w:szCs w:val="24"/>
        </w:rPr>
        <w:t xml:space="preserve"> </w:t>
      </w:r>
      <w:r w:rsidR="00A14D27" w:rsidRPr="00E42C4C">
        <w:rPr>
          <w:rFonts w:ascii="Times New Roman" w:hAnsi="Times New Roman" w:cs="Times New Roman"/>
          <w:sz w:val="24"/>
          <w:szCs w:val="24"/>
        </w:rPr>
        <w:t xml:space="preserve">Законодательство в части определения порядка формирования органов государственной власти субъектов РФ (в том числе, порядка организации и проведения выборов) находится в совместном ведении Российской Федерации и ее субъектов. </w:t>
      </w:r>
      <w:r w:rsidR="00A60ECE" w:rsidRPr="00E42C4C">
        <w:rPr>
          <w:rFonts w:ascii="Times New Roman" w:hAnsi="Times New Roman" w:cs="Times New Roman"/>
          <w:sz w:val="24"/>
          <w:szCs w:val="24"/>
        </w:rPr>
        <w:t xml:space="preserve">На него в полной мере распространяется позиция Европейского Суда по правам человека о том, что регулировании избирательной системы за государством признаются значительные пределы </w:t>
      </w:r>
      <w:r w:rsidR="00A60ECE" w:rsidRPr="00E42C4C">
        <w:rPr>
          <w:rFonts w:ascii="Times New Roman" w:hAnsi="Times New Roman" w:cs="Times New Roman"/>
          <w:sz w:val="24"/>
          <w:szCs w:val="24"/>
        </w:rPr>
        <w:lastRenderedPageBreak/>
        <w:t>усмотрения: избирательное законодательство, различающееся в разных странах, время от времени изменяется и должно оцениваться в свете политического развития конкретной страны, поэтому определенные детали, недопустимые в рамках одной избирательной системы, могут быть оправданны в другой, по крайней мере при том условии, что избирательная система обеспечивает свободное волеизъявление народа при выборе законодательной власти</w:t>
      </w:r>
      <w:r w:rsidR="00E42C4C" w:rsidRPr="00E42C4C">
        <w:rPr>
          <w:rStyle w:val="ae"/>
          <w:rFonts w:ascii="Times New Roman" w:hAnsi="Times New Roman" w:cs="Times New Roman"/>
          <w:sz w:val="24"/>
          <w:szCs w:val="24"/>
        </w:rPr>
        <w:endnoteReference w:id="1"/>
      </w:r>
      <w:r w:rsidR="00E42C4C" w:rsidRPr="00E42C4C">
        <w:rPr>
          <w:rFonts w:ascii="Times New Roman" w:hAnsi="Times New Roman" w:cs="Times New Roman"/>
          <w:sz w:val="24"/>
          <w:szCs w:val="24"/>
        </w:rPr>
        <w:t>. Таким образом, усмотрение регионального законодателя не является неограниченным, а его дискреция в выборе соответствующих механизмов, средств и методов регулирования должно иметь разумный и соразмерный характер</w:t>
      </w:r>
      <w:r w:rsidR="00E42C4C" w:rsidRPr="00E42C4C">
        <w:rPr>
          <w:rStyle w:val="ae"/>
          <w:rFonts w:ascii="Times New Roman" w:hAnsi="Times New Roman" w:cs="Times New Roman"/>
          <w:sz w:val="24"/>
          <w:szCs w:val="24"/>
        </w:rPr>
        <w:endnoteReference w:id="2"/>
      </w:r>
      <w:r w:rsidR="00E42C4C" w:rsidRPr="00E42C4C">
        <w:rPr>
          <w:rFonts w:ascii="Times New Roman" w:hAnsi="Times New Roman" w:cs="Times New Roman"/>
          <w:sz w:val="24"/>
          <w:szCs w:val="24"/>
        </w:rPr>
        <w:t>.</w:t>
      </w:r>
    </w:p>
    <w:p w:rsidR="00774A04" w:rsidRPr="00E42C4C" w:rsidRDefault="00A6274C"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 xml:space="preserve">Установленный порядок расходования средств избирательного фонда включает в себя не только перечень того, на что могут быть потрачены денежные средства фонда, но и границы этих расходов, называемые предельными суммами, а также правила предоставления финансовых отчетов. </w:t>
      </w:r>
      <w:r w:rsidR="00C43E4F" w:rsidRPr="00E42C4C">
        <w:rPr>
          <w:rFonts w:ascii="Times New Roman" w:hAnsi="Times New Roman" w:cs="Times New Roman"/>
          <w:sz w:val="24"/>
          <w:szCs w:val="24"/>
        </w:rPr>
        <w:t xml:space="preserve">И если относительно предметного перечня расходов не возникает серьезных вопросов его оптимальности, так как он обусловлен целевым назначением избирательного фонда, </w:t>
      </w:r>
      <w:r w:rsidR="00B02614" w:rsidRPr="00E42C4C">
        <w:rPr>
          <w:rFonts w:ascii="Times New Roman" w:hAnsi="Times New Roman" w:cs="Times New Roman"/>
          <w:sz w:val="24"/>
          <w:szCs w:val="24"/>
        </w:rPr>
        <w:t>то есть его средства могут использоваться только на покрытие расходов, связанных с проведением избирательной кампании</w:t>
      </w:r>
      <w:r w:rsidR="00C43E4F" w:rsidRPr="00E42C4C">
        <w:rPr>
          <w:rFonts w:ascii="Times New Roman" w:hAnsi="Times New Roman" w:cs="Times New Roman"/>
          <w:sz w:val="24"/>
          <w:szCs w:val="24"/>
        </w:rPr>
        <w:t xml:space="preserve">, то касательно размеров предельных сумм расходов </w:t>
      </w:r>
      <w:r w:rsidR="00377DCC" w:rsidRPr="00E42C4C">
        <w:rPr>
          <w:rFonts w:ascii="Times New Roman" w:hAnsi="Times New Roman" w:cs="Times New Roman"/>
          <w:sz w:val="24"/>
          <w:szCs w:val="24"/>
        </w:rPr>
        <w:t xml:space="preserve">в законодательстве субъектов РФ выявлен ряд проблем, связанных с границами предельного размера избирательного фонда. Поскольку предельный размер расходов является базовым </w:t>
      </w:r>
      <w:r w:rsidR="00577915" w:rsidRPr="00E42C4C">
        <w:rPr>
          <w:rFonts w:ascii="Times New Roman" w:hAnsi="Times New Roman" w:cs="Times New Roman"/>
          <w:sz w:val="24"/>
          <w:szCs w:val="24"/>
        </w:rPr>
        <w:t xml:space="preserve">нормативом, правовые коллизии в данном вопросе влияют </w:t>
      </w:r>
      <w:r w:rsidR="00377DCC" w:rsidRPr="00E42C4C">
        <w:rPr>
          <w:rFonts w:ascii="Times New Roman" w:hAnsi="Times New Roman" w:cs="Times New Roman"/>
          <w:sz w:val="24"/>
          <w:szCs w:val="24"/>
        </w:rPr>
        <w:t xml:space="preserve">на весь порядок </w:t>
      </w:r>
      <w:r w:rsidR="00577915" w:rsidRPr="00E42C4C">
        <w:rPr>
          <w:rFonts w:ascii="Times New Roman" w:hAnsi="Times New Roman" w:cs="Times New Roman"/>
          <w:sz w:val="24"/>
          <w:szCs w:val="24"/>
        </w:rPr>
        <w:t>финансирования избирательной кампании</w:t>
      </w:r>
      <w:r w:rsidR="00C43E4F" w:rsidRPr="00E42C4C">
        <w:rPr>
          <w:rFonts w:ascii="Times New Roman" w:hAnsi="Times New Roman" w:cs="Times New Roman"/>
          <w:sz w:val="24"/>
          <w:szCs w:val="24"/>
        </w:rPr>
        <w:t xml:space="preserve">. </w:t>
      </w:r>
    </w:p>
    <w:p w:rsidR="007F30BE" w:rsidRPr="00E42C4C" w:rsidRDefault="005533F0"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 xml:space="preserve">Актуальность данного исследования заключается в том, что </w:t>
      </w:r>
      <w:r w:rsidR="00345C97" w:rsidRPr="00E42C4C">
        <w:rPr>
          <w:rFonts w:ascii="Times New Roman" w:hAnsi="Times New Roman" w:cs="Times New Roman"/>
          <w:sz w:val="24"/>
          <w:szCs w:val="24"/>
        </w:rPr>
        <w:t>от установленного порядка расходования средств зависит не только предельные размеры финансово</w:t>
      </w:r>
      <w:r w:rsidR="00C145F6" w:rsidRPr="00E42C4C">
        <w:rPr>
          <w:rFonts w:ascii="Times New Roman" w:hAnsi="Times New Roman" w:cs="Times New Roman"/>
          <w:sz w:val="24"/>
          <w:szCs w:val="24"/>
        </w:rPr>
        <w:t>го</w:t>
      </w:r>
      <w:r w:rsidR="00345C97" w:rsidRPr="00E42C4C">
        <w:rPr>
          <w:rFonts w:ascii="Times New Roman" w:hAnsi="Times New Roman" w:cs="Times New Roman"/>
          <w:sz w:val="24"/>
          <w:szCs w:val="24"/>
        </w:rPr>
        <w:t xml:space="preserve"> обеспечение предвыборной </w:t>
      </w:r>
      <w:r w:rsidR="00C145F6" w:rsidRPr="00E42C4C">
        <w:rPr>
          <w:rFonts w:ascii="Times New Roman" w:hAnsi="Times New Roman" w:cs="Times New Roman"/>
          <w:sz w:val="24"/>
          <w:szCs w:val="24"/>
        </w:rPr>
        <w:t>кампании</w:t>
      </w:r>
      <w:r w:rsidR="00345C97" w:rsidRPr="00E42C4C">
        <w:rPr>
          <w:rFonts w:ascii="Times New Roman" w:hAnsi="Times New Roman" w:cs="Times New Roman"/>
          <w:sz w:val="24"/>
          <w:szCs w:val="24"/>
        </w:rPr>
        <w:t xml:space="preserve">, но и прозрачность осуществления денежных операций в </w:t>
      </w:r>
      <w:r w:rsidR="00C145F6" w:rsidRPr="00E42C4C">
        <w:rPr>
          <w:rFonts w:ascii="Times New Roman" w:hAnsi="Times New Roman" w:cs="Times New Roman"/>
          <w:sz w:val="24"/>
          <w:szCs w:val="24"/>
        </w:rPr>
        <w:t xml:space="preserve">её </w:t>
      </w:r>
      <w:r w:rsidR="00345C97" w:rsidRPr="00E42C4C">
        <w:rPr>
          <w:rFonts w:ascii="Times New Roman" w:hAnsi="Times New Roman" w:cs="Times New Roman"/>
          <w:sz w:val="24"/>
          <w:szCs w:val="24"/>
        </w:rPr>
        <w:t>рамках, возможность соблюдения запрета расходования в целях достижения определенного результата на выборах денежных средств, не перечисленных в избирательные фонды.</w:t>
      </w:r>
      <w:r w:rsidR="00D97079" w:rsidRPr="00E42C4C">
        <w:rPr>
          <w:rFonts w:ascii="Times New Roman" w:hAnsi="Times New Roman" w:cs="Times New Roman"/>
          <w:sz w:val="24"/>
          <w:szCs w:val="24"/>
        </w:rPr>
        <w:t xml:space="preserve"> </w:t>
      </w:r>
      <w:r w:rsidR="00345C97" w:rsidRPr="00E42C4C">
        <w:rPr>
          <w:rFonts w:ascii="Times New Roman" w:hAnsi="Times New Roman" w:cs="Times New Roman"/>
          <w:sz w:val="24"/>
          <w:szCs w:val="24"/>
        </w:rPr>
        <w:t>Предельные размеры расходования средств избирательных фондов кандидатов при проведении выборов регионального и местного уровня устанавливаются законами законодательных (представительных) органов субъектов Российской Федерации. Данная норма</w:t>
      </w:r>
      <w:r w:rsidR="00353944">
        <w:rPr>
          <w:rFonts w:ascii="Times New Roman" w:hAnsi="Times New Roman" w:cs="Times New Roman"/>
          <w:sz w:val="24"/>
          <w:szCs w:val="24"/>
        </w:rPr>
        <w:t>,</w:t>
      </w:r>
      <w:r w:rsidR="00345C97" w:rsidRPr="00E42C4C">
        <w:rPr>
          <w:rFonts w:ascii="Times New Roman" w:hAnsi="Times New Roman" w:cs="Times New Roman"/>
          <w:sz w:val="24"/>
          <w:szCs w:val="24"/>
        </w:rPr>
        <w:t xml:space="preserve"> в частности</w:t>
      </w:r>
      <w:r w:rsidR="00353944">
        <w:rPr>
          <w:rFonts w:ascii="Times New Roman" w:hAnsi="Times New Roman" w:cs="Times New Roman"/>
          <w:sz w:val="24"/>
          <w:szCs w:val="24"/>
        </w:rPr>
        <w:t>,</w:t>
      </w:r>
      <w:r w:rsidR="00345C97" w:rsidRPr="00E42C4C">
        <w:rPr>
          <w:rFonts w:ascii="Times New Roman" w:hAnsi="Times New Roman" w:cs="Times New Roman"/>
          <w:sz w:val="24"/>
          <w:szCs w:val="24"/>
        </w:rPr>
        <w:t xml:space="preserve"> позволяет субъектам</w:t>
      </w:r>
      <w:r w:rsidR="00353944">
        <w:rPr>
          <w:rFonts w:ascii="Times New Roman" w:hAnsi="Times New Roman" w:cs="Times New Roman"/>
          <w:sz w:val="24"/>
          <w:szCs w:val="24"/>
        </w:rPr>
        <w:t xml:space="preserve"> РФ</w:t>
      </w:r>
      <w:r w:rsidR="00345C97" w:rsidRPr="00E42C4C">
        <w:rPr>
          <w:rFonts w:ascii="Times New Roman" w:hAnsi="Times New Roman" w:cs="Times New Roman"/>
          <w:sz w:val="24"/>
          <w:szCs w:val="24"/>
        </w:rPr>
        <w:t xml:space="preserve"> самостоятельно устанавливать оптимальную, на их взгляд, предельную сумму всех расходов избирательного фонда кандидата на должность высшего должностного лица субъекта.</w:t>
      </w:r>
      <w:r w:rsidR="00F10291" w:rsidRPr="00E42C4C">
        <w:rPr>
          <w:rFonts w:ascii="Times New Roman" w:hAnsi="Times New Roman" w:cs="Times New Roman"/>
          <w:sz w:val="24"/>
          <w:szCs w:val="24"/>
        </w:rPr>
        <w:t xml:space="preserve"> При этом федеральный законодатель не приводит ни минимальный, ни максимальный размеры предельных сумм всех расходов</w:t>
      </w:r>
      <w:r w:rsidR="00C51778">
        <w:rPr>
          <w:rFonts w:ascii="Times New Roman" w:hAnsi="Times New Roman" w:cs="Times New Roman"/>
          <w:sz w:val="24"/>
          <w:szCs w:val="24"/>
        </w:rPr>
        <w:t>.</w:t>
      </w:r>
    </w:p>
    <w:p w:rsidR="00F5272B" w:rsidRPr="00E42C4C" w:rsidRDefault="00621810" w:rsidP="00FB74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w:t>
      </w:r>
      <w:r w:rsidR="007F30BE" w:rsidRPr="00E42C4C">
        <w:rPr>
          <w:rFonts w:ascii="Times New Roman" w:hAnsi="Times New Roman" w:cs="Times New Roman"/>
          <w:sz w:val="24"/>
          <w:szCs w:val="24"/>
        </w:rPr>
        <w:t xml:space="preserve">нормативно-правовой </w:t>
      </w:r>
      <w:r>
        <w:rPr>
          <w:rFonts w:ascii="Times New Roman" w:hAnsi="Times New Roman" w:cs="Times New Roman"/>
          <w:sz w:val="24"/>
          <w:szCs w:val="24"/>
        </w:rPr>
        <w:t xml:space="preserve">и эмпирической </w:t>
      </w:r>
      <w:r w:rsidR="007F30BE" w:rsidRPr="00E42C4C">
        <w:rPr>
          <w:rFonts w:ascii="Times New Roman" w:hAnsi="Times New Roman" w:cs="Times New Roman"/>
          <w:sz w:val="24"/>
          <w:szCs w:val="24"/>
        </w:rPr>
        <w:t xml:space="preserve">основы </w:t>
      </w:r>
      <w:r>
        <w:rPr>
          <w:rFonts w:ascii="Times New Roman" w:hAnsi="Times New Roman" w:cs="Times New Roman"/>
          <w:sz w:val="24"/>
          <w:szCs w:val="24"/>
        </w:rPr>
        <w:t xml:space="preserve">мы исследовали </w:t>
      </w:r>
      <w:r w:rsidR="007F30BE" w:rsidRPr="00E42C4C">
        <w:rPr>
          <w:rFonts w:ascii="Times New Roman" w:hAnsi="Times New Roman" w:cs="Times New Roman"/>
          <w:sz w:val="24"/>
          <w:szCs w:val="24"/>
        </w:rPr>
        <w:t xml:space="preserve">законодательство 22 субъектов РФ, регулирующее порядок подготовки и проведения выборов высших должностных лиц, </w:t>
      </w:r>
      <w:r>
        <w:rPr>
          <w:rFonts w:ascii="Times New Roman" w:hAnsi="Times New Roman" w:cs="Times New Roman"/>
          <w:sz w:val="24"/>
          <w:szCs w:val="24"/>
        </w:rPr>
        <w:t>в которых в 2</w:t>
      </w:r>
      <w:r w:rsidR="007F30BE" w:rsidRPr="00E42C4C">
        <w:rPr>
          <w:rFonts w:ascii="Times New Roman" w:hAnsi="Times New Roman" w:cs="Times New Roman"/>
          <w:sz w:val="24"/>
          <w:szCs w:val="24"/>
        </w:rPr>
        <w:t>018 год</w:t>
      </w:r>
      <w:r>
        <w:rPr>
          <w:rFonts w:ascii="Times New Roman" w:hAnsi="Times New Roman" w:cs="Times New Roman"/>
          <w:sz w:val="24"/>
          <w:szCs w:val="24"/>
        </w:rPr>
        <w:t xml:space="preserve"> прошли прямые выборы глав регионов</w:t>
      </w:r>
      <w:r w:rsidR="007F30BE" w:rsidRPr="00E42C4C">
        <w:rPr>
          <w:rFonts w:ascii="Times New Roman" w:hAnsi="Times New Roman" w:cs="Times New Roman"/>
          <w:sz w:val="24"/>
          <w:szCs w:val="24"/>
        </w:rPr>
        <w:t xml:space="preserve">, </w:t>
      </w:r>
      <w:r w:rsidR="00E3288D" w:rsidRPr="00E42C4C">
        <w:rPr>
          <w:rFonts w:ascii="Times New Roman" w:hAnsi="Times New Roman" w:cs="Times New Roman"/>
          <w:sz w:val="24"/>
          <w:szCs w:val="24"/>
        </w:rPr>
        <w:t>обобщили данные о предельных размерах расходов средств избирательных фондов на данных выборах, изложив их в таблице</w:t>
      </w:r>
      <w:r w:rsidR="00FE77B6" w:rsidRPr="00E42C4C">
        <w:rPr>
          <w:rFonts w:ascii="Times New Roman" w:hAnsi="Times New Roman" w:cs="Times New Roman"/>
          <w:sz w:val="24"/>
          <w:szCs w:val="24"/>
        </w:rPr>
        <w:t xml:space="preserve"> (суммы приведены без учета увеличения в случае повторного голосования)</w:t>
      </w:r>
      <w:r w:rsidR="00E3288D" w:rsidRPr="00E42C4C">
        <w:rPr>
          <w:rFonts w:ascii="Times New Roman" w:hAnsi="Times New Roman" w:cs="Times New Roman"/>
          <w:sz w:val="24"/>
          <w:szCs w:val="24"/>
        </w:rPr>
        <w:t xml:space="preserve">. </w:t>
      </w:r>
    </w:p>
    <w:p w:rsidR="00555D11" w:rsidRPr="00716BEB" w:rsidRDefault="00555D11" w:rsidP="00FB74B5">
      <w:pPr>
        <w:spacing w:after="0" w:line="240" w:lineRule="auto"/>
        <w:ind w:firstLine="709"/>
        <w:jc w:val="both"/>
        <w:rPr>
          <w:rFonts w:ascii="Times New Roman" w:hAnsi="Times New Roman" w:cs="Times New Roman"/>
          <w:sz w:val="24"/>
          <w:szCs w:val="24"/>
        </w:rPr>
      </w:pPr>
    </w:p>
    <w:p w:rsidR="00555D11" w:rsidRPr="0048447E" w:rsidRDefault="00555D11" w:rsidP="0048447E">
      <w:pPr>
        <w:keepNext/>
        <w:keepLines/>
        <w:suppressAutoHyphens/>
        <w:spacing w:after="0" w:line="240" w:lineRule="auto"/>
        <w:jc w:val="center"/>
        <w:rPr>
          <w:rFonts w:ascii="Times New Roman" w:hAnsi="Times New Roman" w:cs="Times New Roman"/>
          <w:b/>
          <w:sz w:val="24"/>
          <w:szCs w:val="20"/>
        </w:rPr>
      </w:pPr>
      <w:r w:rsidRPr="00716BEB">
        <w:rPr>
          <w:rFonts w:ascii="Times New Roman" w:hAnsi="Times New Roman" w:cs="Times New Roman"/>
          <w:b/>
          <w:sz w:val="24"/>
          <w:szCs w:val="24"/>
        </w:rPr>
        <w:t>Пред</w:t>
      </w:r>
      <w:r w:rsidRPr="0048447E">
        <w:rPr>
          <w:rFonts w:ascii="Times New Roman" w:hAnsi="Times New Roman" w:cs="Times New Roman"/>
          <w:b/>
          <w:sz w:val="24"/>
          <w:szCs w:val="20"/>
        </w:rPr>
        <w:t xml:space="preserve">ельные суммы расходов избирательных фондов кандидатов на выборах высшего должностного лица субъекта Российской Федерации, </w:t>
      </w:r>
      <w:r w:rsidR="0048447E">
        <w:rPr>
          <w:rFonts w:ascii="Times New Roman" w:hAnsi="Times New Roman" w:cs="Times New Roman"/>
          <w:b/>
          <w:sz w:val="24"/>
          <w:szCs w:val="20"/>
        </w:rPr>
        <w:br/>
      </w:r>
      <w:r w:rsidRPr="0048447E">
        <w:rPr>
          <w:rFonts w:ascii="Times New Roman" w:hAnsi="Times New Roman" w:cs="Times New Roman"/>
          <w:b/>
          <w:sz w:val="24"/>
          <w:szCs w:val="20"/>
        </w:rPr>
        <w:t>состоявшихся в 2018 году</w:t>
      </w:r>
    </w:p>
    <w:tbl>
      <w:tblPr>
        <w:tblStyle w:val="a3"/>
        <w:tblW w:w="5000" w:type="pct"/>
        <w:tblLook w:val="04A0" w:firstRow="1" w:lastRow="0" w:firstColumn="1" w:lastColumn="0" w:noHBand="0" w:noVBand="1"/>
      </w:tblPr>
      <w:tblGrid>
        <w:gridCol w:w="539"/>
        <w:gridCol w:w="3179"/>
        <w:gridCol w:w="1555"/>
        <w:gridCol w:w="1155"/>
        <w:gridCol w:w="1155"/>
        <w:gridCol w:w="832"/>
        <w:gridCol w:w="929"/>
      </w:tblGrid>
      <w:tr w:rsidR="00C51778" w:rsidRPr="00C51778" w:rsidTr="00C51778">
        <w:tc>
          <w:tcPr>
            <w:tcW w:w="289" w:type="pct"/>
            <w:vMerge w:val="restart"/>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 п/п</w:t>
            </w:r>
          </w:p>
        </w:tc>
        <w:tc>
          <w:tcPr>
            <w:tcW w:w="1701" w:type="pct"/>
            <w:vMerge w:val="restart"/>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Наименование субъекта РФ</w:t>
            </w:r>
          </w:p>
        </w:tc>
        <w:tc>
          <w:tcPr>
            <w:tcW w:w="832" w:type="pct"/>
            <w:vMerge w:val="restart"/>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Числен</w:t>
            </w:r>
            <w:r w:rsidR="00E746CB" w:rsidRPr="00C51778">
              <w:rPr>
                <w:rFonts w:ascii="Times New Roman" w:hAnsi="Times New Roman" w:cs="Times New Roman"/>
                <w:sz w:val="20"/>
                <w:szCs w:val="20"/>
              </w:rPr>
              <w:softHyphen/>
            </w:r>
            <w:r w:rsidRPr="00C51778">
              <w:rPr>
                <w:rFonts w:ascii="Times New Roman" w:hAnsi="Times New Roman" w:cs="Times New Roman"/>
                <w:sz w:val="20"/>
                <w:szCs w:val="20"/>
              </w:rPr>
              <w:t>ность избирате</w:t>
            </w:r>
            <w:r w:rsidR="00E746CB" w:rsidRPr="00C51778">
              <w:rPr>
                <w:rFonts w:ascii="Times New Roman" w:hAnsi="Times New Roman" w:cs="Times New Roman"/>
                <w:sz w:val="20"/>
                <w:szCs w:val="20"/>
              </w:rPr>
              <w:softHyphen/>
            </w:r>
            <w:r w:rsidRPr="00C51778">
              <w:rPr>
                <w:rFonts w:ascii="Times New Roman" w:hAnsi="Times New Roman" w:cs="Times New Roman"/>
                <w:sz w:val="20"/>
                <w:szCs w:val="20"/>
              </w:rPr>
              <w:t>лей на 01.07.2018</w:t>
            </w:r>
          </w:p>
        </w:tc>
        <w:tc>
          <w:tcPr>
            <w:tcW w:w="618" w:type="pct"/>
            <w:vMerge w:val="restart"/>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Предель</w:t>
            </w:r>
            <w:r w:rsidR="00E746CB" w:rsidRPr="00C51778">
              <w:rPr>
                <w:rFonts w:ascii="Times New Roman" w:hAnsi="Times New Roman" w:cs="Times New Roman"/>
                <w:sz w:val="20"/>
                <w:szCs w:val="20"/>
              </w:rPr>
              <w:softHyphen/>
            </w:r>
            <w:r w:rsidRPr="00C51778">
              <w:rPr>
                <w:rFonts w:ascii="Times New Roman" w:hAnsi="Times New Roman" w:cs="Times New Roman"/>
                <w:sz w:val="20"/>
                <w:szCs w:val="20"/>
              </w:rPr>
              <w:t>ная сумма расхо</w:t>
            </w:r>
            <w:r w:rsidR="004A167C" w:rsidRPr="00C51778">
              <w:rPr>
                <w:rFonts w:ascii="Times New Roman" w:hAnsi="Times New Roman" w:cs="Times New Roman"/>
                <w:sz w:val="20"/>
                <w:szCs w:val="20"/>
              </w:rPr>
              <w:softHyphen/>
            </w:r>
            <w:r w:rsidRPr="00C51778">
              <w:rPr>
                <w:rFonts w:ascii="Times New Roman" w:hAnsi="Times New Roman" w:cs="Times New Roman"/>
                <w:sz w:val="20"/>
                <w:szCs w:val="20"/>
              </w:rPr>
              <w:t>дов, млн. руб.</w:t>
            </w:r>
          </w:p>
        </w:tc>
        <w:tc>
          <w:tcPr>
            <w:tcW w:w="618" w:type="pct"/>
            <w:vMerge w:val="restart"/>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Предель</w:t>
            </w:r>
            <w:r w:rsidR="00E746CB" w:rsidRPr="00C51778">
              <w:rPr>
                <w:rFonts w:ascii="Times New Roman" w:hAnsi="Times New Roman" w:cs="Times New Roman"/>
                <w:sz w:val="20"/>
                <w:szCs w:val="20"/>
              </w:rPr>
              <w:softHyphen/>
            </w:r>
            <w:r w:rsidRPr="00C51778">
              <w:rPr>
                <w:rFonts w:ascii="Times New Roman" w:hAnsi="Times New Roman" w:cs="Times New Roman"/>
                <w:sz w:val="20"/>
                <w:szCs w:val="20"/>
              </w:rPr>
              <w:t>ная сумма на 1 избира</w:t>
            </w:r>
            <w:r w:rsidR="00B52339" w:rsidRPr="00C51778">
              <w:rPr>
                <w:rFonts w:ascii="Times New Roman" w:hAnsi="Times New Roman" w:cs="Times New Roman"/>
                <w:sz w:val="20"/>
                <w:szCs w:val="20"/>
              </w:rPr>
              <w:softHyphen/>
            </w:r>
            <w:r w:rsidRPr="00C51778">
              <w:rPr>
                <w:rFonts w:ascii="Times New Roman" w:hAnsi="Times New Roman" w:cs="Times New Roman"/>
                <w:sz w:val="20"/>
                <w:szCs w:val="20"/>
              </w:rPr>
              <w:t>теля, руб.</w:t>
            </w:r>
          </w:p>
        </w:tc>
        <w:tc>
          <w:tcPr>
            <w:tcW w:w="943" w:type="pct"/>
            <w:gridSpan w:val="2"/>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Коэффициент соотношения со средней суммой расходов</w:t>
            </w:r>
          </w:p>
        </w:tc>
      </w:tr>
      <w:tr w:rsidR="00C51778" w:rsidRPr="00C51778" w:rsidTr="00C51778">
        <w:tc>
          <w:tcPr>
            <w:tcW w:w="289" w:type="pct"/>
            <w:vMerge/>
            <w:vAlign w:val="center"/>
          </w:tcPr>
          <w:p w:rsidR="00081E63" w:rsidRPr="00C51778" w:rsidRDefault="00081E63" w:rsidP="00C51778">
            <w:pPr>
              <w:keepLines/>
              <w:jc w:val="center"/>
              <w:rPr>
                <w:rFonts w:ascii="Times New Roman" w:hAnsi="Times New Roman" w:cs="Times New Roman"/>
                <w:sz w:val="20"/>
                <w:szCs w:val="20"/>
              </w:rPr>
            </w:pPr>
          </w:p>
        </w:tc>
        <w:tc>
          <w:tcPr>
            <w:tcW w:w="1701" w:type="pct"/>
            <w:vMerge/>
            <w:vAlign w:val="center"/>
          </w:tcPr>
          <w:p w:rsidR="00081E63" w:rsidRPr="00C51778" w:rsidRDefault="00081E63" w:rsidP="00C51778">
            <w:pPr>
              <w:keepLines/>
              <w:jc w:val="center"/>
              <w:rPr>
                <w:rFonts w:ascii="Times New Roman" w:hAnsi="Times New Roman" w:cs="Times New Roman"/>
                <w:sz w:val="20"/>
                <w:szCs w:val="20"/>
              </w:rPr>
            </w:pPr>
          </w:p>
        </w:tc>
        <w:tc>
          <w:tcPr>
            <w:tcW w:w="832" w:type="pct"/>
            <w:vMerge/>
            <w:vAlign w:val="center"/>
          </w:tcPr>
          <w:p w:rsidR="00081E63" w:rsidRPr="00C51778" w:rsidRDefault="00081E63" w:rsidP="00C51778">
            <w:pPr>
              <w:keepLines/>
              <w:jc w:val="center"/>
              <w:rPr>
                <w:rFonts w:ascii="Times New Roman" w:hAnsi="Times New Roman" w:cs="Times New Roman"/>
                <w:sz w:val="20"/>
                <w:szCs w:val="20"/>
              </w:rPr>
            </w:pPr>
          </w:p>
        </w:tc>
        <w:tc>
          <w:tcPr>
            <w:tcW w:w="618" w:type="pct"/>
            <w:vMerge/>
            <w:vAlign w:val="center"/>
          </w:tcPr>
          <w:p w:rsidR="00081E63" w:rsidRPr="00C51778" w:rsidRDefault="00081E63" w:rsidP="00C51778">
            <w:pPr>
              <w:keepLines/>
              <w:jc w:val="center"/>
              <w:rPr>
                <w:rFonts w:ascii="Times New Roman" w:hAnsi="Times New Roman" w:cs="Times New Roman"/>
                <w:sz w:val="20"/>
                <w:szCs w:val="20"/>
              </w:rPr>
            </w:pPr>
          </w:p>
        </w:tc>
        <w:tc>
          <w:tcPr>
            <w:tcW w:w="618" w:type="pct"/>
            <w:vMerge/>
            <w:vAlign w:val="center"/>
          </w:tcPr>
          <w:p w:rsidR="00081E63" w:rsidRPr="00C51778" w:rsidRDefault="00081E63" w:rsidP="00C51778">
            <w:pPr>
              <w:keepLines/>
              <w:jc w:val="center"/>
              <w:rPr>
                <w:rFonts w:ascii="Times New Roman" w:hAnsi="Times New Roman" w:cs="Times New Roman"/>
                <w:sz w:val="20"/>
                <w:szCs w:val="20"/>
              </w:rPr>
            </w:pPr>
          </w:p>
        </w:tc>
        <w:tc>
          <w:tcPr>
            <w:tcW w:w="445" w:type="pct"/>
            <w:vAlign w:val="center"/>
          </w:tcPr>
          <w:p w:rsidR="00081E63" w:rsidRPr="00C51778" w:rsidRDefault="00081E63"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КГ = 67</w:t>
            </w:r>
          </w:p>
        </w:tc>
        <w:tc>
          <w:tcPr>
            <w:tcW w:w="498" w:type="pct"/>
            <w:vAlign w:val="center"/>
          </w:tcPr>
          <w:p w:rsidR="00081E63" w:rsidRPr="00C51778" w:rsidRDefault="00081E63" w:rsidP="00C51778">
            <w:pPr>
              <w:keepLines/>
              <w:ind w:left="-91" w:right="-143"/>
              <w:jc w:val="center"/>
              <w:rPr>
                <w:rFonts w:ascii="Times New Roman" w:hAnsi="Times New Roman" w:cs="Times New Roman"/>
                <w:spacing w:val="-4"/>
                <w:sz w:val="20"/>
                <w:szCs w:val="20"/>
              </w:rPr>
            </w:pPr>
            <w:r w:rsidRPr="00C51778">
              <w:rPr>
                <w:rFonts w:ascii="Times New Roman" w:hAnsi="Times New Roman" w:cs="Times New Roman"/>
                <w:spacing w:val="-4"/>
                <w:sz w:val="20"/>
                <w:szCs w:val="20"/>
              </w:rPr>
              <w:t>КП = 3,67</w:t>
            </w:r>
          </w:p>
        </w:tc>
      </w:tr>
      <w:tr w:rsidR="00C51778" w:rsidRPr="00C51778" w:rsidTr="00C51778">
        <w:tc>
          <w:tcPr>
            <w:tcW w:w="289" w:type="pct"/>
          </w:tcPr>
          <w:p w:rsidR="003C2AB6" w:rsidRPr="00C51778" w:rsidRDefault="003C2AB6" w:rsidP="00C51778">
            <w:pPr>
              <w:keepLines/>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C51778">
            <w:pPr>
              <w:keepLines/>
              <w:rPr>
                <w:rFonts w:ascii="Times New Roman" w:hAnsi="Times New Roman" w:cs="Times New Roman"/>
                <w:sz w:val="20"/>
                <w:szCs w:val="20"/>
              </w:rPr>
            </w:pPr>
            <w:r w:rsidRPr="00C51778">
              <w:rPr>
                <w:rFonts w:ascii="Times New Roman" w:hAnsi="Times New Roman" w:cs="Times New Roman"/>
                <w:sz w:val="20"/>
                <w:szCs w:val="20"/>
              </w:rPr>
              <w:t>Хабаровский край</w:t>
            </w:r>
          </w:p>
        </w:tc>
        <w:tc>
          <w:tcPr>
            <w:tcW w:w="832" w:type="pct"/>
            <w:vAlign w:val="center"/>
          </w:tcPr>
          <w:p w:rsidR="003C2AB6" w:rsidRPr="00C51778" w:rsidRDefault="003C2AB6" w:rsidP="00C51778">
            <w:pPr>
              <w:keepLines/>
              <w:ind w:right="175"/>
              <w:jc w:val="right"/>
              <w:rPr>
                <w:rFonts w:ascii="Times New Roman" w:hAnsi="Times New Roman" w:cs="Times New Roman"/>
                <w:sz w:val="20"/>
                <w:szCs w:val="20"/>
              </w:rPr>
            </w:pPr>
            <w:r w:rsidRPr="00C51778">
              <w:rPr>
                <w:rFonts w:ascii="Times New Roman" w:hAnsi="Times New Roman" w:cs="Times New Roman"/>
                <w:sz w:val="20"/>
                <w:szCs w:val="20"/>
              </w:rPr>
              <w:t>995 620</w:t>
            </w:r>
          </w:p>
        </w:tc>
        <w:tc>
          <w:tcPr>
            <w:tcW w:w="61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20</w:t>
            </w:r>
          </w:p>
        </w:tc>
        <w:tc>
          <w:tcPr>
            <w:tcW w:w="61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20</w:t>
            </w:r>
          </w:p>
        </w:tc>
        <w:tc>
          <w:tcPr>
            <w:tcW w:w="445"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0,30</w:t>
            </w:r>
          </w:p>
        </w:tc>
        <w:tc>
          <w:tcPr>
            <w:tcW w:w="49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5,45</w:t>
            </w:r>
          </w:p>
        </w:tc>
      </w:tr>
      <w:tr w:rsidR="00C51778" w:rsidRPr="00C51778" w:rsidTr="00C51778">
        <w:tc>
          <w:tcPr>
            <w:tcW w:w="289" w:type="pct"/>
          </w:tcPr>
          <w:p w:rsidR="003C2AB6" w:rsidRPr="00C51778" w:rsidRDefault="003C2AB6" w:rsidP="00C51778">
            <w:pPr>
              <w:keepLines/>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C51778">
            <w:pPr>
              <w:keepLines/>
              <w:rPr>
                <w:rFonts w:ascii="Times New Roman" w:hAnsi="Times New Roman" w:cs="Times New Roman"/>
                <w:sz w:val="20"/>
                <w:szCs w:val="20"/>
              </w:rPr>
            </w:pPr>
            <w:r w:rsidRPr="00C51778">
              <w:rPr>
                <w:rFonts w:ascii="Times New Roman" w:hAnsi="Times New Roman" w:cs="Times New Roman"/>
                <w:sz w:val="20"/>
                <w:szCs w:val="20"/>
              </w:rPr>
              <w:t xml:space="preserve">Омская область </w:t>
            </w:r>
          </w:p>
        </w:tc>
        <w:tc>
          <w:tcPr>
            <w:tcW w:w="832" w:type="pct"/>
            <w:vAlign w:val="center"/>
          </w:tcPr>
          <w:p w:rsidR="003C2AB6" w:rsidRPr="00C51778" w:rsidRDefault="003C2AB6" w:rsidP="00C51778">
            <w:pPr>
              <w:keepLines/>
              <w:ind w:right="175"/>
              <w:jc w:val="right"/>
              <w:rPr>
                <w:rFonts w:ascii="Times New Roman" w:hAnsi="Times New Roman" w:cs="Times New Roman"/>
                <w:sz w:val="20"/>
                <w:szCs w:val="20"/>
              </w:rPr>
            </w:pPr>
            <w:r w:rsidRPr="00C51778">
              <w:rPr>
                <w:rFonts w:ascii="Times New Roman" w:hAnsi="Times New Roman" w:cs="Times New Roman"/>
                <w:sz w:val="20"/>
                <w:szCs w:val="20"/>
              </w:rPr>
              <w:t>1 531 632</w:t>
            </w:r>
          </w:p>
        </w:tc>
        <w:tc>
          <w:tcPr>
            <w:tcW w:w="61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30</w:t>
            </w:r>
          </w:p>
        </w:tc>
        <w:tc>
          <w:tcPr>
            <w:tcW w:w="61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20</w:t>
            </w:r>
          </w:p>
        </w:tc>
        <w:tc>
          <w:tcPr>
            <w:tcW w:w="445"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0,30</w:t>
            </w:r>
          </w:p>
        </w:tc>
        <w:tc>
          <w:tcPr>
            <w:tcW w:w="49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5,45</w:t>
            </w:r>
          </w:p>
        </w:tc>
      </w:tr>
      <w:tr w:rsidR="00C51778" w:rsidRPr="00C51778" w:rsidTr="00C51778">
        <w:tc>
          <w:tcPr>
            <w:tcW w:w="289" w:type="pct"/>
          </w:tcPr>
          <w:p w:rsidR="003C2AB6" w:rsidRPr="00C51778" w:rsidRDefault="003C2AB6" w:rsidP="00C51778">
            <w:pPr>
              <w:keepLines/>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C51778">
            <w:pPr>
              <w:keepLines/>
              <w:rPr>
                <w:rFonts w:ascii="Times New Roman" w:hAnsi="Times New Roman" w:cs="Times New Roman"/>
                <w:sz w:val="20"/>
                <w:szCs w:val="20"/>
              </w:rPr>
            </w:pPr>
            <w:r w:rsidRPr="00C51778">
              <w:rPr>
                <w:rFonts w:ascii="Times New Roman" w:hAnsi="Times New Roman" w:cs="Times New Roman"/>
                <w:sz w:val="20"/>
                <w:szCs w:val="20"/>
              </w:rPr>
              <w:t>Алтайский край</w:t>
            </w:r>
          </w:p>
        </w:tc>
        <w:tc>
          <w:tcPr>
            <w:tcW w:w="832" w:type="pct"/>
            <w:vAlign w:val="center"/>
          </w:tcPr>
          <w:p w:rsidR="003C2AB6" w:rsidRPr="00C51778" w:rsidRDefault="003C2AB6" w:rsidP="00C51778">
            <w:pPr>
              <w:keepLines/>
              <w:ind w:right="175"/>
              <w:jc w:val="right"/>
              <w:rPr>
                <w:rFonts w:ascii="Times New Roman" w:hAnsi="Times New Roman" w:cs="Times New Roman"/>
                <w:sz w:val="20"/>
                <w:szCs w:val="20"/>
              </w:rPr>
            </w:pPr>
            <w:r w:rsidRPr="00C51778">
              <w:rPr>
                <w:rFonts w:ascii="Times New Roman" w:hAnsi="Times New Roman" w:cs="Times New Roman"/>
                <w:sz w:val="20"/>
                <w:szCs w:val="20"/>
              </w:rPr>
              <w:t>1 846 084</w:t>
            </w:r>
          </w:p>
        </w:tc>
        <w:tc>
          <w:tcPr>
            <w:tcW w:w="61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40</w:t>
            </w:r>
          </w:p>
        </w:tc>
        <w:tc>
          <w:tcPr>
            <w:tcW w:w="61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22</w:t>
            </w:r>
          </w:p>
        </w:tc>
        <w:tc>
          <w:tcPr>
            <w:tcW w:w="445"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0,33</w:t>
            </w:r>
          </w:p>
        </w:tc>
        <w:tc>
          <w:tcPr>
            <w:tcW w:w="498" w:type="pct"/>
            <w:vAlign w:val="center"/>
          </w:tcPr>
          <w:p w:rsidR="003C2AB6" w:rsidRPr="00C51778" w:rsidRDefault="003C2AB6" w:rsidP="00C51778">
            <w:pPr>
              <w:keepLines/>
              <w:jc w:val="center"/>
              <w:rPr>
                <w:rFonts w:ascii="Times New Roman" w:hAnsi="Times New Roman" w:cs="Times New Roman"/>
                <w:sz w:val="20"/>
                <w:szCs w:val="20"/>
              </w:rPr>
            </w:pPr>
            <w:r w:rsidRPr="00C51778">
              <w:rPr>
                <w:rFonts w:ascii="Times New Roman" w:hAnsi="Times New Roman" w:cs="Times New Roman"/>
                <w:sz w:val="20"/>
                <w:szCs w:val="20"/>
              </w:rPr>
              <w:t>5,99</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Новосибирская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2 133 286</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23</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0,34</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6,27</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Город Москва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7 202 493</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250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35</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0,52</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9,54</w:t>
            </w:r>
          </w:p>
        </w:tc>
        <w:bookmarkStart w:id="0" w:name="_GoBack"/>
        <w:bookmarkEnd w:id="0"/>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Амурская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620 750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25</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40</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0,60</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10,90</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Воронежская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1 859 725</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93</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50</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0,75</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13,62</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Нижегородская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2 589 236</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135</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52</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0,78</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14,17</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Московская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5 621 838</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300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53</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0,79</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14,44</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Кемеровская область</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2 021 359</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110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54</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0,81</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14,71</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Ивановская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808 828</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62</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0,93</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16,89</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Республика Саха (Якутия)</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631 302</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40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63</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0,94</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17,17</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Приморский край</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1 456 292</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100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69</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1,03</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18,80</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Орловская область</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634 284</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50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79</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1,18</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21,53</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Самарская область</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2 400 947</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200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83</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1,24</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22,62</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Псковская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533 322</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45</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84</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1,25</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22,89</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Тюменская область</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1 089 148</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100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92</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1,37</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25,07</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Республика Хакасия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382 032</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35</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97</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1,45</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26,43</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Чукотский </w:t>
            </w:r>
            <w:r w:rsidR="00150503" w:rsidRPr="00C51778">
              <w:rPr>
                <w:rFonts w:ascii="Times New Roman" w:hAnsi="Times New Roman" w:cs="Times New Roman"/>
                <w:sz w:val="20"/>
                <w:szCs w:val="20"/>
              </w:rPr>
              <w:t>АО</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32 692</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3</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98</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1,46</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26,70</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Красноярский край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2 040 557</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200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98</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1,46</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26,70</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 xml:space="preserve">Владимировская область </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1</w:t>
            </w:r>
            <w:r w:rsidRPr="00C51778">
              <w:rPr>
                <w:rFonts w:ascii="Times New Roman" w:hAnsi="Times New Roman" w:cs="Times New Roman"/>
                <w:sz w:val="20"/>
                <w:szCs w:val="20"/>
                <w:lang w:val="en-US"/>
              </w:rPr>
              <w:t> </w:t>
            </w:r>
            <w:r w:rsidRPr="00C51778">
              <w:rPr>
                <w:rFonts w:ascii="Times New Roman" w:hAnsi="Times New Roman" w:cs="Times New Roman"/>
                <w:sz w:val="20"/>
                <w:szCs w:val="20"/>
              </w:rPr>
              <w:t>130</w:t>
            </w:r>
            <w:r w:rsidRPr="00C51778">
              <w:rPr>
                <w:rFonts w:ascii="Times New Roman" w:hAnsi="Times New Roman" w:cs="Times New Roman"/>
                <w:sz w:val="20"/>
                <w:szCs w:val="20"/>
                <w:lang w:val="en-US"/>
              </w:rPr>
              <w:t> </w:t>
            </w:r>
            <w:r w:rsidRPr="00C51778">
              <w:rPr>
                <w:rFonts w:ascii="Times New Roman" w:hAnsi="Times New Roman" w:cs="Times New Roman"/>
                <w:sz w:val="20"/>
                <w:szCs w:val="20"/>
              </w:rPr>
              <w:t>678</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158</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140</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2,09</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38,15</w:t>
            </w:r>
          </w:p>
        </w:tc>
      </w:tr>
      <w:tr w:rsidR="00C51778" w:rsidRPr="00C51778" w:rsidTr="00C51778">
        <w:tc>
          <w:tcPr>
            <w:tcW w:w="289" w:type="pct"/>
          </w:tcPr>
          <w:p w:rsidR="003C2AB6" w:rsidRPr="00C51778" w:rsidRDefault="003C2AB6" w:rsidP="00FB74B5">
            <w:pPr>
              <w:numPr>
                <w:ilvl w:val="0"/>
                <w:numId w:val="4"/>
              </w:numPr>
              <w:ind w:left="0" w:firstLine="0"/>
              <w:jc w:val="both"/>
              <w:rPr>
                <w:rFonts w:ascii="Times New Roman" w:hAnsi="Times New Roman" w:cs="Times New Roman"/>
                <w:sz w:val="20"/>
                <w:szCs w:val="20"/>
              </w:rPr>
            </w:pPr>
          </w:p>
        </w:tc>
        <w:tc>
          <w:tcPr>
            <w:tcW w:w="1701" w:type="pct"/>
          </w:tcPr>
          <w:p w:rsidR="003C2AB6" w:rsidRPr="00C51778" w:rsidRDefault="003C2AB6" w:rsidP="00FB74B5">
            <w:pPr>
              <w:rPr>
                <w:rFonts w:ascii="Times New Roman" w:hAnsi="Times New Roman" w:cs="Times New Roman"/>
                <w:sz w:val="20"/>
                <w:szCs w:val="20"/>
              </w:rPr>
            </w:pPr>
            <w:r w:rsidRPr="00C51778">
              <w:rPr>
                <w:rFonts w:ascii="Times New Roman" w:hAnsi="Times New Roman" w:cs="Times New Roman"/>
                <w:sz w:val="20"/>
                <w:szCs w:val="20"/>
              </w:rPr>
              <w:t>Магаданская область</w:t>
            </w:r>
          </w:p>
        </w:tc>
        <w:tc>
          <w:tcPr>
            <w:tcW w:w="832" w:type="pct"/>
            <w:vAlign w:val="center"/>
          </w:tcPr>
          <w:p w:rsidR="003C2AB6" w:rsidRPr="00C51778" w:rsidRDefault="003C2AB6" w:rsidP="00FB74B5">
            <w:pPr>
              <w:ind w:right="175"/>
              <w:jc w:val="right"/>
              <w:rPr>
                <w:rFonts w:ascii="Times New Roman" w:hAnsi="Times New Roman" w:cs="Times New Roman"/>
                <w:sz w:val="20"/>
                <w:szCs w:val="20"/>
              </w:rPr>
            </w:pPr>
            <w:r w:rsidRPr="00C51778">
              <w:rPr>
                <w:rFonts w:ascii="Times New Roman" w:hAnsi="Times New Roman" w:cs="Times New Roman"/>
                <w:sz w:val="20"/>
                <w:szCs w:val="20"/>
              </w:rPr>
              <w:t>104</w:t>
            </w:r>
            <w:r w:rsidRPr="00C51778">
              <w:rPr>
                <w:rFonts w:ascii="Times New Roman" w:hAnsi="Times New Roman" w:cs="Times New Roman"/>
                <w:sz w:val="20"/>
                <w:szCs w:val="20"/>
                <w:lang w:val="en-US"/>
              </w:rPr>
              <w:t> </w:t>
            </w:r>
            <w:r w:rsidRPr="00C51778">
              <w:rPr>
                <w:rFonts w:ascii="Times New Roman" w:hAnsi="Times New Roman" w:cs="Times New Roman"/>
                <w:sz w:val="20"/>
                <w:szCs w:val="20"/>
              </w:rPr>
              <w:t>340</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15</w:t>
            </w:r>
          </w:p>
        </w:tc>
        <w:tc>
          <w:tcPr>
            <w:tcW w:w="61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144</w:t>
            </w:r>
          </w:p>
        </w:tc>
        <w:tc>
          <w:tcPr>
            <w:tcW w:w="445"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2,15</w:t>
            </w:r>
          </w:p>
        </w:tc>
        <w:tc>
          <w:tcPr>
            <w:tcW w:w="498" w:type="pct"/>
            <w:vAlign w:val="center"/>
          </w:tcPr>
          <w:p w:rsidR="003C2AB6" w:rsidRPr="00C51778" w:rsidRDefault="003C2AB6" w:rsidP="00FB74B5">
            <w:pPr>
              <w:jc w:val="center"/>
              <w:rPr>
                <w:rFonts w:ascii="Times New Roman" w:hAnsi="Times New Roman" w:cs="Times New Roman"/>
                <w:sz w:val="20"/>
                <w:szCs w:val="20"/>
              </w:rPr>
            </w:pPr>
            <w:r w:rsidRPr="00C51778">
              <w:rPr>
                <w:rFonts w:ascii="Times New Roman" w:hAnsi="Times New Roman" w:cs="Times New Roman"/>
                <w:sz w:val="20"/>
                <w:szCs w:val="20"/>
              </w:rPr>
              <w:t>39,24</w:t>
            </w:r>
          </w:p>
        </w:tc>
      </w:tr>
    </w:tbl>
    <w:p w:rsidR="00555D11" w:rsidRPr="00E42C4C" w:rsidRDefault="00555D11" w:rsidP="00FB74B5">
      <w:pPr>
        <w:spacing w:after="0" w:line="240" w:lineRule="auto"/>
        <w:ind w:firstLine="709"/>
        <w:jc w:val="both"/>
        <w:rPr>
          <w:rFonts w:ascii="Times New Roman" w:hAnsi="Times New Roman" w:cs="Times New Roman"/>
          <w:sz w:val="20"/>
          <w:szCs w:val="20"/>
        </w:rPr>
      </w:pPr>
    </w:p>
    <w:p w:rsidR="00E90DB4" w:rsidRDefault="005477F9"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 xml:space="preserve">Полученные в ходе изучения избирательного законодательства субъектов Российской Федерации данные </w:t>
      </w:r>
      <w:r w:rsidR="00400150" w:rsidRPr="00E42C4C">
        <w:rPr>
          <w:rFonts w:ascii="Times New Roman" w:hAnsi="Times New Roman" w:cs="Times New Roman"/>
          <w:sz w:val="24"/>
          <w:szCs w:val="24"/>
        </w:rPr>
        <w:t>позволили построить график анализа размера предельных расходов избирательных фондов кандидатов на выборах высших должностных лиц субъектов РФ</w:t>
      </w:r>
      <w:r w:rsidR="006E40E2" w:rsidRPr="00E42C4C">
        <w:rPr>
          <w:rFonts w:ascii="Times New Roman" w:hAnsi="Times New Roman" w:cs="Times New Roman"/>
          <w:sz w:val="24"/>
          <w:szCs w:val="24"/>
        </w:rPr>
        <w:t xml:space="preserve"> в соотношении со средним размером </w:t>
      </w:r>
      <w:r w:rsidR="00723F0D" w:rsidRPr="00E42C4C">
        <w:rPr>
          <w:rFonts w:ascii="Times New Roman" w:hAnsi="Times New Roman" w:cs="Times New Roman"/>
          <w:sz w:val="24"/>
          <w:szCs w:val="24"/>
        </w:rPr>
        <w:t>расходов (график).</w:t>
      </w:r>
    </w:p>
    <w:p w:rsidR="00716BEB" w:rsidRPr="00E42C4C" w:rsidRDefault="00716BEB" w:rsidP="00FB74B5">
      <w:pPr>
        <w:spacing w:after="0" w:line="240" w:lineRule="auto"/>
        <w:ind w:firstLine="709"/>
        <w:jc w:val="both"/>
        <w:rPr>
          <w:rFonts w:ascii="Times New Roman" w:hAnsi="Times New Roman" w:cs="Times New Roman"/>
          <w:sz w:val="24"/>
          <w:szCs w:val="24"/>
        </w:rPr>
      </w:pPr>
    </w:p>
    <w:p w:rsidR="00E42C4C" w:rsidRPr="00E42C4C" w:rsidRDefault="0048447E" w:rsidP="0048447E">
      <w:pPr>
        <w:keepNext/>
        <w:keepLines/>
        <w:suppressAutoHyphens/>
        <w:spacing w:after="0" w:line="240" w:lineRule="auto"/>
        <w:jc w:val="center"/>
        <w:rPr>
          <w:rFonts w:ascii="Times New Roman" w:hAnsi="Times New Roman" w:cs="Times New Roman"/>
          <w:b/>
          <w:sz w:val="24"/>
          <w:szCs w:val="20"/>
        </w:rPr>
      </w:pPr>
      <w:r w:rsidRPr="0048447E">
        <w:rPr>
          <w:rFonts w:ascii="Times New Roman" w:hAnsi="Times New Roman" w:cs="Times New Roman"/>
          <w:b/>
          <w:sz w:val="24"/>
          <w:szCs w:val="20"/>
        </w:rPr>
        <w:drawing>
          <wp:anchor distT="0" distB="0" distL="114300" distR="114300" simplePos="0" relativeHeight="251658240" behindDoc="1" locked="0" layoutInCell="1" allowOverlap="1" wp14:anchorId="4146996E">
            <wp:simplePos x="0" y="0"/>
            <wp:positionH relativeFrom="column">
              <wp:posOffset>-3810</wp:posOffset>
            </wp:positionH>
            <wp:positionV relativeFrom="paragraph">
              <wp:posOffset>356235</wp:posOffset>
            </wp:positionV>
            <wp:extent cx="5972175" cy="4552950"/>
            <wp:effectExtent l="0" t="0" r="0" b="0"/>
            <wp:wrapTight wrapText="bothSides">
              <wp:wrapPolygon edited="0">
                <wp:start x="0" y="0"/>
                <wp:lineTo x="0" y="21510"/>
                <wp:lineTo x="21497" y="21510"/>
                <wp:lineTo x="21497"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E42C4C" w:rsidRPr="00E42C4C">
        <w:rPr>
          <w:rFonts w:ascii="Times New Roman" w:hAnsi="Times New Roman" w:cs="Times New Roman"/>
          <w:b/>
          <w:sz w:val="24"/>
          <w:szCs w:val="20"/>
        </w:rPr>
        <w:t xml:space="preserve">Анализ размера расходов средств избирательного фонда </w:t>
      </w:r>
      <w:r w:rsidR="00E42C4C" w:rsidRPr="00E42C4C">
        <w:rPr>
          <w:rFonts w:ascii="Times New Roman" w:hAnsi="Times New Roman" w:cs="Times New Roman"/>
          <w:b/>
          <w:sz w:val="24"/>
          <w:szCs w:val="20"/>
        </w:rPr>
        <w:br/>
        <w:t>из расчета на одного избирателя в субъектах РФ</w:t>
      </w:r>
    </w:p>
    <w:p w:rsidR="00C145F6" w:rsidRPr="00E42C4C" w:rsidRDefault="00C145F6"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Если исходить из то</w:t>
      </w:r>
      <w:r w:rsidR="002176FB" w:rsidRPr="00E42C4C">
        <w:rPr>
          <w:rFonts w:ascii="Times New Roman" w:hAnsi="Times New Roman" w:cs="Times New Roman"/>
          <w:sz w:val="24"/>
          <w:szCs w:val="24"/>
        </w:rPr>
        <w:t>го, что существую</w:t>
      </w:r>
      <w:r w:rsidRPr="00E42C4C">
        <w:rPr>
          <w:rFonts w:ascii="Times New Roman" w:hAnsi="Times New Roman" w:cs="Times New Roman"/>
          <w:sz w:val="24"/>
          <w:szCs w:val="24"/>
        </w:rPr>
        <w:t xml:space="preserve">т единые объективные критерии определения предельных сумм расходования средств избирательных фондов кандидатов на должность высшего должностного лица субъекта Российской Федерации, то частное показателей по одинаковому основанию должно быть максимально приближенным к частному показателей другого основания. Проще говоря, если количество избирателей в субъекте А. </w:t>
      </w:r>
      <w:r w:rsidRPr="00E42C4C">
        <w:rPr>
          <w:rFonts w:ascii="Times New Roman" w:hAnsi="Times New Roman" w:cs="Times New Roman"/>
          <w:sz w:val="24"/>
          <w:szCs w:val="24"/>
        </w:rPr>
        <w:lastRenderedPageBreak/>
        <w:t>равно 1 тыс. человек, а во втором – 500 человек, то при предельной сумме расходов избирательного фонда кандидата в размере 100 тыс. руб. в первом субъекте, во втором предельная сумма расходов должна составлять 50 тыс. руб.</w:t>
      </w:r>
    </w:p>
    <w:p w:rsidR="00C145F6" w:rsidRPr="00E42C4C" w:rsidRDefault="00F976DC"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Однако в</w:t>
      </w:r>
      <w:r w:rsidR="00C145F6" w:rsidRPr="00E42C4C">
        <w:rPr>
          <w:rFonts w:ascii="Times New Roman" w:hAnsi="Times New Roman" w:cs="Times New Roman"/>
          <w:sz w:val="24"/>
          <w:szCs w:val="24"/>
        </w:rPr>
        <w:t xml:space="preserve"> Самарской области приблизительно в 6,6 раз</w:t>
      </w:r>
      <w:r w:rsidR="00175949" w:rsidRPr="00E42C4C">
        <w:rPr>
          <w:rFonts w:ascii="Times New Roman" w:hAnsi="Times New Roman" w:cs="Times New Roman"/>
          <w:sz w:val="24"/>
          <w:szCs w:val="24"/>
        </w:rPr>
        <w:t>а</w:t>
      </w:r>
      <w:r w:rsidR="00C145F6" w:rsidRPr="00E42C4C">
        <w:rPr>
          <w:rFonts w:ascii="Times New Roman" w:hAnsi="Times New Roman" w:cs="Times New Roman"/>
          <w:sz w:val="24"/>
          <w:szCs w:val="24"/>
        </w:rPr>
        <w:t xml:space="preserve"> больше предельный размер суммы расходов избирательного фонда кандидата на должность высшего должностного лица субъекта, чем в Омской области. Однако в первом субъекте количество избирателей превышает количество и</w:t>
      </w:r>
      <w:r w:rsidRPr="00E42C4C">
        <w:rPr>
          <w:rFonts w:ascii="Times New Roman" w:hAnsi="Times New Roman" w:cs="Times New Roman"/>
          <w:sz w:val="24"/>
          <w:szCs w:val="24"/>
        </w:rPr>
        <w:t>збирателей во втором всего в 1,</w:t>
      </w:r>
      <w:r w:rsidR="00C145F6" w:rsidRPr="00E42C4C">
        <w:rPr>
          <w:rFonts w:ascii="Times New Roman" w:hAnsi="Times New Roman" w:cs="Times New Roman"/>
          <w:sz w:val="24"/>
          <w:szCs w:val="24"/>
        </w:rPr>
        <w:t>6 раз</w:t>
      </w:r>
      <w:r w:rsidR="00175949" w:rsidRPr="00E42C4C">
        <w:rPr>
          <w:rFonts w:ascii="Times New Roman" w:hAnsi="Times New Roman" w:cs="Times New Roman"/>
          <w:sz w:val="24"/>
          <w:szCs w:val="24"/>
        </w:rPr>
        <w:t>а</w:t>
      </w:r>
      <w:r w:rsidR="00C145F6" w:rsidRPr="00E42C4C">
        <w:rPr>
          <w:rFonts w:ascii="Times New Roman" w:hAnsi="Times New Roman" w:cs="Times New Roman"/>
          <w:sz w:val="24"/>
          <w:szCs w:val="24"/>
        </w:rPr>
        <w:t>. То есть существует разрыв частных по данным основаниям в 4,1</w:t>
      </w:r>
      <w:r w:rsidRPr="00E42C4C">
        <w:rPr>
          <w:rFonts w:ascii="Times New Roman" w:hAnsi="Times New Roman" w:cs="Times New Roman"/>
          <w:sz w:val="24"/>
          <w:szCs w:val="24"/>
        </w:rPr>
        <w:t>3</w:t>
      </w:r>
      <w:r w:rsidR="00C145F6" w:rsidRPr="00E42C4C">
        <w:rPr>
          <w:rFonts w:ascii="Times New Roman" w:hAnsi="Times New Roman" w:cs="Times New Roman"/>
          <w:sz w:val="24"/>
          <w:szCs w:val="24"/>
        </w:rPr>
        <w:t xml:space="preserve"> раз</w:t>
      </w:r>
      <w:r w:rsidR="00175949" w:rsidRPr="00E42C4C">
        <w:rPr>
          <w:rFonts w:ascii="Times New Roman" w:hAnsi="Times New Roman" w:cs="Times New Roman"/>
          <w:sz w:val="24"/>
          <w:szCs w:val="24"/>
        </w:rPr>
        <w:t>а</w:t>
      </w:r>
      <w:r w:rsidR="00C145F6" w:rsidRPr="00E42C4C">
        <w:rPr>
          <w:rFonts w:ascii="Times New Roman" w:hAnsi="Times New Roman" w:cs="Times New Roman"/>
          <w:sz w:val="24"/>
          <w:szCs w:val="24"/>
        </w:rPr>
        <w:t xml:space="preserve"> в пользу Самарской области. </w:t>
      </w:r>
      <w:r w:rsidR="007D2939" w:rsidRPr="00E42C4C">
        <w:rPr>
          <w:rFonts w:ascii="Times New Roman" w:hAnsi="Times New Roman" w:cs="Times New Roman"/>
          <w:sz w:val="24"/>
          <w:szCs w:val="24"/>
        </w:rPr>
        <w:t xml:space="preserve">В </w:t>
      </w:r>
      <w:r w:rsidR="00C145F6" w:rsidRPr="00E42C4C">
        <w:rPr>
          <w:rFonts w:ascii="Times New Roman" w:hAnsi="Times New Roman" w:cs="Times New Roman"/>
          <w:sz w:val="24"/>
          <w:szCs w:val="24"/>
        </w:rPr>
        <w:t>Орловской и Новосибирской област</w:t>
      </w:r>
      <w:r w:rsidR="007D2939" w:rsidRPr="00E42C4C">
        <w:rPr>
          <w:rFonts w:ascii="Times New Roman" w:hAnsi="Times New Roman" w:cs="Times New Roman"/>
          <w:sz w:val="24"/>
          <w:szCs w:val="24"/>
        </w:rPr>
        <w:t xml:space="preserve">ях </w:t>
      </w:r>
      <w:r w:rsidR="00C145F6" w:rsidRPr="00E42C4C">
        <w:rPr>
          <w:rFonts w:ascii="Times New Roman" w:hAnsi="Times New Roman" w:cs="Times New Roman"/>
          <w:sz w:val="24"/>
          <w:szCs w:val="24"/>
        </w:rPr>
        <w:t>равные предельные суммы расходов избирательных фондов, но существует большая разница в максимальном размере средств на 1 избирателя (больше, чем в 3,4 раза</w:t>
      </w:r>
      <w:r w:rsidR="007D2939" w:rsidRPr="00E42C4C">
        <w:rPr>
          <w:rFonts w:ascii="Times New Roman" w:hAnsi="Times New Roman" w:cs="Times New Roman"/>
          <w:sz w:val="24"/>
          <w:szCs w:val="24"/>
        </w:rPr>
        <w:t>).</w:t>
      </w:r>
    </w:p>
    <w:p w:rsidR="00B642F3" w:rsidRPr="00E42C4C" w:rsidRDefault="00F571C5"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Как видно из приведённого анализа, получаемые предельные суммы расходов на одного избирателя</w:t>
      </w:r>
      <w:r w:rsidR="002F7C7D" w:rsidRPr="00E42C4C">
        <w:rPr>
          <w:rFonts w:ascii="Times New Roman" w:hAnsi="Times New Roman" w:cs="Times New Roman"/>
          <w:sz w:val="24"/>
          <w:szCs w:val="24"/>
        </w:rPr>
        <w:t>, а также предельные суммы всех расходов в целом</w:t>
      </w:r>
      <w:r w:rsidRPr="00E42C4C">
        <w:rPr>
          <w:rFonts w:ascii="Times New Roman" w:hAnsi="Times New Roman" w:cs="Times New Roman"/>
          <w:sz w:val="24"/>
          <w:szCs w:val="24"/>
        </w:rPr>
        <w:t xml:space="preserve"> </w:t>
      </w:r>
      <w:r w:rsidR="002F7C7D" w:rsidRPr="00E42C4C">
        <w:rPr>
          <w:rFonts w:ascii="Times New Roman" w:hAnsi="Times New Roman" w:cs="Times New Roman"/>
          <w:sz w:val="24"/>
          <w:szCs w:val="24"/>
        </w:rPr>
        <w:t>в</w:t>
      </w:r>
      <w:r w:rsidRPr="00E42C4C">
        <w:rPr>
          <w:rFonts w:ascii="Times New Roman" w:hAnsi="Times New Roman" w:cs="Times New Roman"/>
          <w:sz w:val="24"/>
          <w:szCs w:val="24"/>
        </w:rPr>
        <w:t xml:space="preserve"> </w:t>
      </w:r>
      <w:r w:rsidR="002F7C7D" w:rsidRPr="00E42C4C">
        <w:rPr>
          <w:rFonts w:ascii="Times New Roman" w:hAnsi="Times New Roman" w:cs="Times New Roman"/>
          <w:sz w:val="24"/>
          <w:szCs w:val="24"/>
        </w:rPr>
        <w:t>некоторых</w:t>
      </w:r>
      <w:r w:rsidRPr="00E42C4C">
        <w:rPr>
          <w:rFonts w:ascii="Times New Roman" w:hAnsi="Times New Roman" w:cs="Times New Roman"/>
          <w:sz w:val="24"/>
          <w:szCs w:val="24"/>
        </w:rPr>
        <w:t xml:space="preserve"> субъе</w:t>
      </w:r>
      <w:r w:rsidR="002F7C7D" w:rsidRPr="00E42C4C">
        <w:rPr>
          <w:rFonts w:ascii="Times New Roman" w:hAnsi="Times New Roman" w:cs="Times New Roman"/>
          <w:sz w:val="24"/>
          <w:szCs w:val="24"/>
        </w:rPr>
        <w:t>ктах</w:t>
      </w:r>
      <w:r w:rsidRPr="00E42C4C">
        <w:rPr>
          <w:rFonts w:ascii="Times New Roman" w:hAnsi="Times New Roman" w:cs="Times New Roman"/>
          <w:sz w:val="24"/>
          <w:szCs w:val="24"/>
        </w:rPr>
        <w:t xml:space="preserve"> </w:t>
      </w:r>
      <w:r w:rsidR="00F87947" w:rsidRPr="00E42C4C">
        <w:rPr>
          <w:rFonts w:ascii="Times New Roman" w:hAnsi="Times New Roman" w:cs="Times New Roman"/>
          <w:sz w:val="24"/>
          <w:szCs w:val="24"/>
        </w:rPr>
        <w:t>несоразмерны</w:t>
      </w:r>
      <w:r w:rsidR="00DB7505" w:rsidRPr="00E42C4C">
        <w:rPr>
          <w:rFonts w:ascii="Times New Roman" w:hAnsi="Times New Roman" w:cs="Times New Roman"/>
          <w:sz w:val="24"/>
          <w:szCs w:val="24"/>
        </w:rPr>
        <w:t xml:space="preserve"> с возможными затратами на избирательную кампанию кандидата</w:t>
      </w:r>
      <w:r w:rsidR="00C80024" w:rsidRPr="00E42C4C">
        <w:rPr>
          <w:rFonts w:ascii="Times New Roman" w:hAnsi="Times New Roman" w:cs="Times New Roman"/>
          <w:sz w:val="24"/>
          <w:szCs w:val="24"/>
        </w:rPr>
        <w:t>, причем они как</w:t>
      </w:r>
      <w:r w:rsidR="00F87947" w:rsidRPr="00E42C4C">
        <w:rPr>
          <w:rFonts w:ascii="Times New Roman" w:hAnsi="Times New Roman" w:cs="Times New Roman"/>
          <w:sz w:val="24"/>
          <w:szCs w:val="24"/>
        </w:rPr>
        <w:t xml:space="preserve"> занижены</w:t>
      </w:r>
      <w:r w:rsidR="00C80024" w:rsidRPr="00E42C4C">
        <w:rPr>
          <w:rFonts w:ascii="Times New Roman" w:hAnsi="Times New Roman" w:cs="Times New Roman"/>
          <w:sz w:val="24"/>
          <w:szCs w:val="24"/>
        </w:rPr>
        <w:t xml:space="preserve">, так и </w:t>
      </w:r>
      <w:r w:rsidR="00F87947" w:rsidRPr="00E42C4C">
        <w:rPr>
          <w:rFonts w:ascii="Times New Roman" w:hAnsi="Times New Roman" w:cs="Times New Roman"/>
          <w:sz w:val="24"/>
          <w:szCs w:val="24"/>
        </w:rPr>
        <w:t xml:space="preserve">завышены. </w:t>
      </w:r>
      <w:r w:rsidR="00645E19" w:rsidRPr="00E42C4C">
        <w:rPr>
          <w:rFonts w:ascii="Times New Roman" w:hAnsi="Times New Roman" w:cs="Times New Roman"/>
          <w:sz w:val="24"/>
          <w:szCs w:val="24"/>
        </w:rPr>
        <w:t xml:space="preserve">Например, в Красноярском крае и Самарской области предельная сумма всех расходов избирательного фонда кандидата на выборах высшего должностного лица субъекта составляет </w:t>
      </w:r>
      <w:r w:rsidR="00BC4F71" w:rsidRPr="00E42C4C">
        <w:rPr>
          <w:rFonts w:ascii="Times New Roman" w:hAnsi="Times New Roman" w:cs="Times New Roman"/>
          <w:sz w:val="24"/>
          <w:szCs w:val="24"/>
        </w:rPr>
        <w:t xml:space="preserve">200 млн руб., то есть </w:t>
      </w:r>
      <w:r w:rsidR="00481643" w:rsidRPr="00E42C4C">
        <w:rPr>
          <w:rFonts w:ascii="Times New Roman" w:hAnsi="Times New Roman" w:cs="Times New Roman"/>
          <w:sz w:val="24"/>
          <w:szCs w:val="24"/>
        </w:rPr>
        <w:t>половину</w:t>
      </w:r>
      <w:r w:rsidR="00645E19" w:rsidRPr="00E42C4C">
        <w:rPr>
          <w:rFonts w:ascii="Times New Roman" w:hAnsi="Times New Roman" w:cs="Times New Roman"/>
          <w:sz w:val="24"/>
          <w:szCs w:val="24"/>
        </w:rPr>
        <w:t xml:space="preserve"> предельной суммы всех расходов избирательного фонда кандидата на должность Президента Российской Федерации</w:t>
      </w:r>
      <w:r w:rsidR="00160180" w:rsidRPr="00E42C4C">
        <w:rPr>
          <w:rFonts w:ascii="Times New Roman" w:hAnsi="Times New Roman" w:cs="Times New Roman"/>
          <w:sz w:val="24"/>
          <w:szCs w:val="24"/>
        </w:rPr>
        <w:t xml:space="preserve">, в </w:t>
      </w:r>
      <w:r w:rsidR="0098103C" w:rsidRPr="00E42C4C">
        <w:rPr>
          <w:rFonts w:ascii="Times New Roman" w:hAnsi="Times New Roman" w:cs="Times New Roman"/>
          <w:sz w:val="24"/>
          <w:szCs w:val="24"/>
        </w:rPr>
        <w:t xml:space="preserve">самом многочисленном субъекте РФ </w:t>
      </w:r>
      <w:r w:rsidR="00160180" w:rsidRPr="00E42C4C">
        <w:rPr>
          <w:rFonts w:ascii="Times New Roman" w:hAnsi="Times New Roman" w:cs="Times New Roman"/>
          <w:sz w:val="24"/>
          <w:szCs w:val="24"/>
        </w:rPr>
        <w:t xml:space="preserve">городе Москве </w:t>
      </w:r>
      <w:r w:rsidR="006D62B4" w:rsidRPr="00E42C4C">
        <w:rPr>
          <w:rFonts w:ascii="Times New Roman" w:hAnsi="Times New Roman" w:cs="Times New Roman"/>
          <w:sz w:val="24"/>
          <w:szCs w:val="24"/>
        </w:rPr>
        <w:t>эта сумма равна 250 млн руб., а в Московской области – уже две трети Президентского фонда</w:t>
      </w:r>
      <w:r w:rsidR="007F5676" w:rsidRPr="00E42C4C">
        <w:rPr>
          <w:rFonts w:ascii="Times New Roman" w:hAnsi="Times New Roman" w:cs="Times New Roman"/>
          <w:sz w:val="24"/>
          <w:szCs w:val="24"/>
        </w:rPr>
        <w:t xml:space="preserve"> (300 млн руб.)</w:t>
      </w:r>
      <w:r w:rsidR="00943D33" w:rsidRPr="00E42C4C">
        <w:rPr>
          <w:rFonts w:ascii="Times New Roman" w:hAnsi="Times New Roman" w:cs="Times New Roman"/>
          <w:sz w:val="24"/>
          <w:szCs w:val="24"/>
        </w:rPr>
        <w:t>, в «коэффициентах Президента»</w:t>
      </w:r>
      <w:r w:rsidR="0098103C" w:rsidRPr="00E42C4C">
        <w:rPr>
          <w:rFonts w:ascii="Times New Roman" w:hAnsi="Times New Roman" w:cs="Times New Roman"/>
          <w:sz w:val="24"/>
          <w:szCs w:val="24"/>
        </w:rPr>
        <w:t xml:space="preserve"> соответственно от 9,54 и 14,44 для Москвы и области до 22,62 и 26,70 для Самарской области и Красноярского края</w:t>
      </w:r>
      <w:r w:rsidR="006D62B4" w:rsidRPr="00E42C4C">
        <w:rPr>
          <w:rFonts w:ascii="Times New Roman" w:hAnsi="Times New Roman" w:cs="Times New Roman"/>
          <w:sz w:val="24"/>
          <w:szCs w:val="24"/>
        </w:rPr>
        <w:t>.</w:t>
      </w:r>
      <w:r w:rsidR="00726A0A" w:rsidRPr="00E42C4C">
        <w:rPr>
          <w:rFonts w:ascii="Times New Roman" w:hAnsi="Times New Roman" w:cs="Times New Roman"/>
          <w:sz w:val="24"/>
          <w:szCs w:val="24"/>
        </w:rPr>
        <w:t xml:space="preserve"> </w:t>
      </w:r>
    </w:p>
    <w:p w:rsidR="00726A0A" w:rsidRPr="00E42C4C" w:rsidRDefault="00726A0A"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 xml:space="preserve">Таким образом, назрела необходимость в </w:t>
      </w:r>
      <w:r w:rsidR="003C39E2" w:rsidRPr="00E42C4C">
        <w:rPr>
          <w:rFonts w:ascii="Times New Roman" w:hAnsi="Times New Roman" w:cs="Times New Roman"/>
          <w:sz w:val="24"/>
          <w:szCs w:val="24"/>
        </w:rPr>
        <w:t>установлении единых для правового пространства России подходов к оп</w:t>
      </w:r>
      <w:r w:rsidR="00084431" w:rsidRPr="00E42C4C">
        <w:rPr>
          <w:rFonts w:ascii="Times New Roman" w:hAnsi="Times New Roman" w:cs="Times New Roman"/>
          <w:sz w:val="24"/>
          <w:szCs w:val="24"/>
        </w:rPr>
        <w:t>ределени</w:t>
      </w:r>
      <w:r w:rsidR="003B42C6" w:rsidRPr="00E42C4C">
        <w:rPr>
          <w:rFonts w:ascii="Times New Roman" w:hAnsi="Times New Roman" w:cs="Times New Roman"/>
          <w:sz w:val="24"/>
          <w:szCs w:val="24"/>
        </w:rPr>
        <w:t>ю</w:t>
      </w:r>
      <w:r w:rsidR="00084431" w:rsidRPr="00E42C4C">
        <w:rPr>
          <w:rFonts w:ascii="Times New Roman" w:hAnsi="Times New Roman" w:cs="Times New Roman"/>
          <w:sz w:val="24"/>
          <w:szCs w:val="24"/>
        </w:rPr>
        <w:t xml:space="preserve"> параметров избирательных фондов кандидатов и избирательных объединений.</w:t>
      </w:r>
    </w:p>
    <w:p w:rsidR="002A243F" w:rsidRDefault="003B42C6" w:rsidP="00FB74B5">
      <w:pPr>
        <w:spacing w:after="0" w:line="240" w:lineRule="auto"/>
        <w:ind w:firstLine="709"/>
        <w:jc w:val="both"/>
        <w:rPr>
          <w:rFonts w:ascii="Times New Roman" w:hAnsi="Times New Roman" w:cs="Times New Roman"/>
          <w:sz w:val="24"/>
          <w:szCs w:val="24"/>
        </w:rPr>
      </w:pPr>
      <w:r w:rsidRPr="00E42C4C">
        <w:rPr>
          <w:rFonts w:ascii="Times New Roman" w:hAnsi="Times New Roman" w:cs="Times New Roman"/>
          <w:sz w:val="24"/>
          <w:szCs w:val="24"/>
        </w:rPr>
        <w:t>У</w:t>
      </w:r>
      <w:r w:rsidR="002A243F" w:rsidRPr="00E42C4C">
        <w:rPr>
          <w:rFonts w:ascii="Times New Roman" w:hAnsi="Times New Roman" w:cs="Times New Roman"/>
          <w:sz w:val="24"/>
          <w:szCs w:val="24"/>
        </w:rPr>
        <w:t xml:space="preserve">становление оптимальных предельных сумм всех расходов кандидатов на должность высшего должностного лица субъекта Российской Федерации должно быть направлено на обеспечение интересов не только самих кандидатов, но и избирателей. Необходимо, чтобы данные пределы позволяли кандидатам проводить объективно качественную избирательную кампанию, то есть </w:t>
      </w:r>
      <w:r w:rsidR="001F247B" w:rsidRPr="00E42C4C">
        <w:rPr>
          <w:rFonts w:ascii="Times New Roman" w:hAnsi="Times New Roman" w:cs="Times New Roman"/>
          <w:sz w:val="24"/>
          <w:szCs w:val="24"/>
        </w:rPr>
        <w:t>самостоятельно собирать и расходовать денежные средства для целей избирания</w:t>
      </w:r>
      <w:r w:rsidR="002A243F" w:rsidRPr="00E42C4C">
        <w:rPr>
          <w:rFonts w:ascii="Times New Roman" w:hAnsi="Times New Roman" w:cs="Times New Roman"/>
          <w:sz w:val="24"/>
          <w:szCs w:val="24"/>
        </w:rPr>
        <w:t xml:space="preserve">, однако не создавали такой ситуации, при которой вся избирательная кампания будет определяться преимущественно </w:t>
      </w:r>
      <w:r w:rsidR="009F7A1F" w:rsidRPr="00E42C4C">
        <w:rPr>
          <w:rFonts w:ascii="Times New Roman" w:hAnsi="Times New Roman" w:cs="Times New Roman"/>
          <w:sz w:val="24"/>
          <w:szCs w:val="24"/>
        </w:rPr>
        <w:t>финансовыми возможностями кандидата и поддерживающих его лиц</w:t>
      </w:r>
      <w:r w:rsidR="002A243F" w:rsidRPr="00E42C4C">
        <w:rPr>
          <w:rFonts w:ascii="Times New Roman" w:hAnsi="Times New Roman" w:cs="Times New Roman"/>
          <w:sz w:val="24"/>
          <w:szCs w:val="24"/>
        </w:rPr>
        <w:t>. Избирател</w:t>
      </w:r>
      <w:r w:rsidR="00E746CB" w:rsidRPr="00E42C4C">
        <w:rPr>
          <w:rFonts w:ascii="Times New Roman" w:hAnsi="Times New Roman" w:cs="Times New Roman"/>
          <w:sz w:val="24"/>
          <w:szCs w:val="24"/>
        </w:rPr>
        <w:t xml:space="preserve">ям же должно быть обеспечена возможностью осуществления </w:t>
      </w:r>
      <w:r w:rsidR="002A243F" w:rsidRPr="00E42C4C">
        <w:rPr>
          <w:rFonts w:ascii="Times New Roman" w:hAnsi="Times New Roman" w:cs="Times New Roman"/>
          <w:sz w:val="24"/>
          <w:szCs w:val="24"/>
        </w:rPr>
        <w:t>контроля над расходованием денежных средств избирательных фондов кандидатов, что непосредственно согласуется с обязанностью кандидатов представлять точные</w:t>
      </w:r>
      <w:r w:rsidR="00E746CB" w:rsidRPr="00E42C4C">
        <w:rPr>
          <w:rFonts w:ascii="Times New Roman" w:hAnsi="Times New Roman" w:cs="Times New Roman"/>
          <w:sz w:val="24"/>
          <w:szCs w:val="24"/>
        </w:rPr>
        <w:t xml:space="preserve"> и полные</w:t>
      </w:r>
      <w:r w:rsidR="002A243F" w:rsidRPr="00E42C4C">
        <w:rPr>
          <w:rFonts w:ascii="Times New Roman" w:hAnsi="Times New Roman" w:cs="Times New Roman"/>
          <w:sz w:val="24"/>
          <w:szCs w:val="24"/>
        </w:rPr>
        <w:t xml:space="preserve"> финансовые отчеты и обязанностью государства обеспечивать высокую степень прозрачности и открытости осуществления денежных операций в рамках проведения кандидатами своих кампаний, в частности</w:t>
      </w:r>
      <w:r w:rsidR="00E746CB" w:rsidRPr="00E42C4C">
        <w:rPr>
          <w:rFonts w:ascii="Times New Roman" w:hAnsi="Times New Roman" w:cs="Times New Roman"/>
          <w:sz w:val="24"/>
          <w:szCs w:val="24"/>
        </w:rPr>
        <w:t>,</w:t>
      </w:r>
      <w:r w:rsidR="002A243F" w:rsidRPr="00E42C4C">
        <w:rPr>
          <w:rFonts w:ascii="Times New Roman" w:hAnsi="Times New Roman" w:cs="Times New Roman"/>
          <w:sz w:val="24"/>
          <w:szCs w:val="24"/>
        </w:rPr>
        <w:t xml:space="preserve"> посредством установления соразмерных предельных сумм расходов</w:t>
      </w:r>
      <w:r w:rsidR="00136093" w:rsidRPr="00E42C4C">
        <w:rPr>
          <w:rFonts w:ascii="Times New Roman" w:hAnsi="Times New Roman" w:cs="Times New Roman"/>
          <w:sz w:val="24"/>
          <w:szCs w:val="24"/>
        </w:rPr>
        <w:t xml:space="preserve"> избирательных фондов</w:t>
      </w:r>
      <w:r w:rsidR="002A243F" w:rsidRPr="00E42C4C">
        <w:rPr>
          <w:rFonts w:ascii="Times New Roman" w:hAnsi="Times New Roman" w:cs="Times New Roman"/>
          <w:sz w:val="24"/>
          <w:szCs w:val="24"/>
        </w:rPr>
        <w:t>.</w:t>
      </w:r>
    </w:p>
    <w:p w:rsidR="00EC4C8E" w:rsidRPr="00EC4C8E" w:rsidRDefault="00EC4C8E" w:rsidP="00EC4C8E">
      <w:pPr>
        <w:spacing w:after="0" w:line="240" w:lineRule="auto"/>
        <w:ind w:firstLine="709"/>
        <w:jc w:val="both"/>
        <w:rPr>
          <w:rFonts w:ascii="Times New Roman" w:hAnsi="Times New Roman" w:cs="Times New Roman"/>
          <w:sz w:val="24"/>
          <w:szCs w:val="24"/>
        </w:rPr>
      </w:pPr>
      <w:r w:rsidRPr="00EC4C8E">
        <w:rPr>
          <w:rFonts w:ascii="Times New Roman" w:hAnsi="Times New Roman" w:cs="Times New Roman"/>
          <w:sz w:val="24"/>
          <w:szCs w:val="24"/>
        </w:rPr>
        <w:t>При их установлении предельных размеров расходов средств избирательного фонда необходимо руководствоваться следующими критериями:</w:t>
      </w:r>
    </w:p>
    <w:p w:rsidR="00EC4C8E" w:rsidRPr="00EC4C8E" w:rsidRDefault="00EC4C8E" w:rsidP="00EC4C8E">
      <w:pPr>
        <w:spacing w:after="0" w:line="240" w:lineRule="auto"/>
        <w:ind w:firstLine="709"/>
        <w:jc w:val="both"/>
        <w:rPr>
          <w:rFonts w:ascii="Times New Roman" w:hAnsi="Times New Roman" w:cs="Times New Roman"/>
          <w:sz w:val="24"/>
          <w:szCs w:val="24"/>
        </w:rPr>
      </w:pPr>
      <w:r w:rsidRPr="00EC4C8E">
        <w:rPr>
          <w:rFonts w:ascii="Times New Roman" w:hAnsi="Times New Roman" w:cs="Times New Roman"/>
          <w:sz w:val="24"/>
          <w:szCs w:val="24"/>
        </w:rPr>
        <w:t>- численностью избирателей соответствующего избирательного округа;</w:t>
      </w:r>
    </w:p>
    <w:p w:rsidR="00EC4C8E" w:rsidRPr="00EC4C8E" w:rsidRDefault="00EC4C8E" w:rsidP="00EC4C8E">
      <w:pPr>
        <w:spacing w:after="0" w:line="240" w:lineRule="auto"/>
        <w:ind w:firstLine="709"/>
        <w:jc w:val="both"/>
        <w:rPr>
          <w:rFonts w:ascii="Times New Roman" w:hAnsi="Times New Roman" w:cs="Times New Roman"/>
          <w:sz w:val="24"/>
          <w:szCs w:val="24"/>
        </w:rPr>
      </w:pPr>
      <w:r w:rsidRPr="00EC4C8E">
        <w:rPr>
          <w:rFonts w:ascii="Times New Roman" w:hAnsi="Times New Roman" w:cs="Times New Roman"/>
          <w:sz w:val="24"/>
          <w:szCs w:val="24"/>
        </w:rPr>
        <w:t>- сложившимися в регионе ценами на изготовление агитационных материалов, услуг по их распространению, на аренду помещений и т.д.;</w:t>
      </w:r>
    </w:p>
    <w:p w:rsidR="00EC4C8E" w:rsidRPr="00EC4C8E" w:rsidRDefault="00EC4C8E" w:rsidP="00EC4C8E">
      <w:pPr>
        <w:spacing w:after="0" w:line="240" w:lineRule="auto"/>
        <w:ind w:firstLine="709"/>
        <w:jc w:val="both"/>
        <w:rPr>
          <w:rFonts w:ascii="Times New Roman" w:hAnsi="Times New Roman" w:cs="Times New Roman"/>
          <w:sz w:val="24"/>
          <w:szCs w:val="24"/>
        </w:rPr>
      </w:pPr>
      <w:r w:rsidRPr="00EC4C8E">
        <w:rPr>
          <w:rFonts w:ascii="Times New Roman" w:hAnsi="Times New Roman" w:cs="Times New Roman"/>
          <w:sz w:val="24"/>
          <w:szCs w:val="24"/>
        </w:rPr>
        <w:t>- уровнем инфляции в стране. Установление в законе субъекта нормы, в соответствие с которой предельная сумма избирательного фонда кандидата будет индексироваться применительно к каждым выборам, сможет обеспечить интересы кандидатов в достаточном размере финансирования.</w:t>
      </w:r>
    </w:p>
    <w:p w:rsidR="00EC4C8E" w:rsidRDefault="00EC4C8E" w:rsidP="00EC4C8E">
      <w:pPr>
        <w:spacing w:after="0" w:line="240" w:lineRule="auto"/>
        <w:ind w:firstLine="709"/>
        <w:jc w:val="both"/>
        <w:rPr>
          <w:rFonts w:ascii="Times New Roman" w:hAnsi="Times New Roman" w:cs="Times New Roman"/>
          <w:sz w:val="24"/>
          <w:szCs w:val="24"/>
        </w:rPr>
      </w:pPr>
      <w:r w:rsidRPr="00EC4C8E">
        <w:rPr>
          <w:rFonts w:ascii="Times New Roman" w:hAnsi="Times New Roman" w:cs="Times New Roman"/>
          <w:sz w:val="24"/>
          <w:szCs w:val="24"/>
        </w:rPr>
        <w:t xml:space="preserve">Выявленный в ходе исследования бессистемный подход к установлению предельных размеров расходов избирательных фондов кандидатов, по нашему мнению, связан с недостаточностью федерального правового регулирования. В связи с этим в ходе </w:t>
      </w:r>
      <w:r w:rsidRPr="00EC4C8E">
        <w:rPr>
          <w:rFonts w:ascii="Times New Roman" w:hAnsi="Times New Roman" w:cs="Times New Roman"/>
          <w:sz w:val="24"/>
          <w:szCs w:val="24"/>
        </w:rPr>
        <w:lastRenderedPageBreak/>
        <w:t>законопроектной работы над Кодексом РФ о выборах и референдумах считаем необходимым такие критерии установить.</w:t>
      </w:r>
    </w:p>
    <w:p w:rsidR="00EC4C8E" w:rsidRPr="00EC4C8E" w:rsidRDefault="00EC4C8E" w:rsidP="00EC4C8E">
      <w:pPr>
        <w:spacing w:after="0" w:line="240" w:lineRule="auto"/>
        <w:ind w:firstLine="709"/>
        <w:jc w:val="both"/>
        <w:rPr>
          <w:rFonts w:ascii="Times New Roman" w:hAnsi="Times New Roman" w:cs="Times New Roman"/>
          <w:sz w:val="24"/>
          <w:szCs w:val="24"/>
        </w:rPr>
      </w:pPr>
      <w:r w:rsidRPr="00EC4C8E">
        <w:rPr>
          <w:rFonts w:ascii="Times New Roman" w:hAnsi="Times New Roman" w:cs="Times New Roman"/>
          <w:sz w:val="24"/>
          <w:szCs w:val="24"/>
        </w:rPr>
        <w:t>На сегодняшний день предельные суммы всех расходов избирательного фонда кандидата на выборах высшего должностного лица некоторых субъектов РФ требуют своего изменения, важность которого обусловлена обеспечением наиболее подходящих условий проведения кандидатами своих предвыборных кампаний. Особенно востребованы эти изменения ввиду ближайших выборов высших должностных лиц субъектов РФ.</w:t>
      </w:r>
    </w:p>
    <w:p w:rsidR="00EC4C8E" w:rsidRPr="00E42C4C" w:rsidRDefault="00EC4C8E" w:rsidP="00FB74B5">
      <w:pPr>
        <w:spacing w:after="0" w:line="240" w:lineRule="auto"/>
        <w:ind w:firstLine="709"/>
        <w:jc w:val="both"/>
        <w:rPr>
          <w:rFonts w:ascii="Times New Roman" w:hAnsi="Times New Roman" w:cs="Times New Roman"/>
          <w:sz w:val="24"/>
          <w:szCs w:val="24"/>
        </w:rPr>
      </w:pPr>
    </w:p>
    <w:sectPr w:rsidR="00EC4C8E" w:rsidRPr="00E42C4C" w:rsidSect="00E42C4C">
      <w:footnotePr>
        <w:numRestart w:val="eachPage"/>
      </w:footnotePr>
      <w:endnotePr>
        <w:numFmt w:val="decimal"/>
      </w:end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93E" w:rsidRDefault="008D793E" w:rsidP="00991504">
      <w:pPr>
        <w:spacing w:after="0" w:line="240" w:lineRule="auto"/>
      </w:pPr>
      <w:r>
        <w:separator/>
      </w:r>
    </w:p>
  </w:endnote>
  <w:endnote w:type="continuationSeparator" w:id="0">
    <w:p w:rsidR="008D793E" w:rsidRDefault="008D793E" w:rsidP="00991504">
      <w:pPr>
        <w:spacing w:after="0" w:line="240" w:lineRule="auto"/>
      </w:pPr>
      <w:r>
        <w:continuationSeparator/>
      </w:r>
    </w:p>
  </w:endnote>
  <w:endnote w:id="1">
    <w:p w:rsidR="00E42C4C" w:rsidRPr="00E42C4C" w:rsidRDefault="00E42C4C" w:rsidP="00FB74B5">
      <w:pPr>
        <w:pStyle w:val="ac"/>
        <w:ind w:firstLine="709"/>
        <w:jc w:val="both"/>
        <w:rPr>
          <w:rFonts w:ascii="Times New Roman" w:hAnsi="Times New Roman" w:cs="Times New Roman"/>
        </w:rPr>
      </w:pPr>
      <w:r w:rsidRPr="00E42C4C">
        <w:rPr>
          <w:rStyle w:val="ae"/>
          <w:rFonts w:ascii="Times New Roman" w:hAnsi="Times New Roman" w:cs="Times New Roman"/>
        </w:rPr>
        <w:endnoteRef/>
      </w:r>
      <w:r w:rsidRPr="00E42C4C">
        <w:rPr>
          <w:rFonts w:ascii="Times New Roman" w:hAnsi="Times New Roman" w:cs="Times New Roman"/>
        </w:rPr>
        <w:t xml:space="preserve"> По делу «Матье-</w:t>
      </w:r>
      <w:proofErr w:type="spellStart"/>
      <w:r w:rsidRPr="00E42C4C">
        <w:rPr>
          <w:rFonts w:ascii="Times New Roman" w:hAnsi="Times New Roman" w:cs="Times New Roman"/>
        </w:rPr>
        <w:t>Моэн</w:t>
      </w:r>
      <w:proofErr w:type="spellEnd"/>
      <w:r w:rsidRPr="00E42C4C">
        <w:rPr>
          <w:rFonts w:ascii="Times New Roman" w:hAnsi="Times New Roman" w:cs="Times New Roman"/>
        </w:rPr>
        <w:t xml:space="preserve"> (</w:t>
      </w:r>
      <w:proofErr w:type="spellStart"/>
      <w:r w:rsidRPr="00E42C4C">
        <w:rPr>
          <w:rFonts w:ascii="Times New Roman" w:hAnsi="Times New Roman" w:cs="Times New Roman"/>
        </w:rPr>
        <w:t>Mathieu-Mohin</w:t>
      </w:r>
      <w:proofErr w:type="spellEnd"/>
      <w:r w:rsidRPr="00E42C4C">
        <w:rPr>
          <w:rFonts w:ascii="Times New Roman" w:hAnsi="Times New Roman" w:cs="Times New Roman"/>
        </w:rPr>
        <w:t xml:space="preserve">) и </w:t>
      </w:r>
      <w:proofErr w:type="spellStart"/>
      <w:r w:rsidRPr="00E42C4C">
        <w:rPr>
          <w:rFonts w:ascii="Times New Roman" w:hAnsi="Times New Roman" w:cs="Times New Roman"/>
        </w:rPr>
        <w:t>Клерфейт</w:t>
      </w:r>
      <w:proofErr w:type="spellEnd"/>
      <w:r w:rsidRPr="00E42C4C">
        <w:rPr>
          <w:rFonts w:ascii="Times New Roman" w:hAnsi="Times New Roman" w:cs="Times New Roman"/>
        </w:rPr>
        <w:t xml:space="preserve"> (</w:t>
      </w:r>
      <w:proofErr w:type="spellStart"/>
      <w:r w:rsidRPr="00E42C4C">
        <w:rPr>
          <w:rFonts w:ascii="Times New Roman" w:hAnsi="Times New Roman" w:cs="Times New Roman"/>
        </w:rPr>
        <w:t>Clerfayt</w:t>
      </w:r>
      <w:proofErr w:type="spellEnd"/>
      <w:r w:rsidRPr="00E42C4C">
        <w:rPr>
          <w:rFonts w:ascii="Times New Roman" w:hAnsi="Times New Roman" w:cs="Times New Roman"/>
        </w:rPr>
        <w:t xml:space="preserve">) против Бельгии»: решение Европейского Суда по правам человека от 02.03.1987 // [Электронный ресурс] URL: http://www.interfax.ru/russia/528903 (дата обращения </w:t>
      </w:r>
      <w:r w:rsidR="005A60C5" w:rsidRPr="005A60C5">
        <w:rPr>
          <w:rFonts w:ascii="Times New Roman" w:hAnsi="Times New Roman" w:cs="Times New Roman"/>
        </w:rPr>
        <w:t>24</w:t>
      </w:r>
      <w:r w:rsidR="005A60C5">
        <w:rPr>
          <w:rFonts w:ascii="Times New Roman" w:hAnsi="Times New Roman" w:cs="Times New Roman"/>
        </w:rPr>
        <w:t>.</w:t>
      </w:r>
      <w:r w:rsidR="005A60C5" w:rsidRPr="005A60C5">
        <w:rPr>
          <w:rFonts w:ascii="Times New Roman" w:hAnsi="Times New Roman" w:cs="Times New Roman"/>
        </w:rPr>
        <w:t>03</w:t>
      </w:r>
      <w:r w:rsidRPr="00E42C4C">
        <w:rPr>
          <w:rFonts w:ascii="Times New Roman" w:hAnsi="Times New Roman" w:cs="Times New Roman"/>
        </w:rPr>
        <w:t>.201</w:t>
      </w:r>
      <w:r w:rsidR="005A60C5">
        <w:rPr>
          <w:rFonts w:ascii="Times New Roman" w:hAnsi="Times New Roman" w:cs="Times New Roman"/>
        </w:rPr>
        <w:t>9</w:t>
      </w:r>
      <w:r w:rsidRPr="00E42C4C">
        <w:rPr>
          <w:rFonts w:ascii="Times New Roman" w:hAnsi="Times New Roman" w:cs="Times New Roman"/>
        </w:rPr>
        <w:t>).</w:t>
      </w:r>
    </w:p>
  </w:endnote>
  <w:endnote w:id="2">
    <w:p w:rsidR="00E42C4C" w:rsidRPr="00E42C4C" w:rsidRDefault="00E42C4C" w:rsidP="00FB74B5">
      <w:pPr>
        <w:pStyle w:val="ac"/>
        <w:ind w:firstLine="709"/>
        <w:jc w:val="both"/>
        <w:rPr>
          <w:rFonts w:ascii="Times New Roman" w:hAnsi="Times New Roman" w:cs="Times New Roman"/>
        </w:rPr>
      </w:pPr>
      <w:r w:rsidRPr="00E42C4C">
        <w:rPr>
          <w:rStyle w:val="ae"/>
          <w:rFonts w:ascii="Times New Roman" w:hAnsi="Times New Roman" w:cs="Times New Roman"/>
        </w:rPr>
        <w:endnoteRef/>
      </w:r>
      <w:r w:rsidRPr="00E42C4C">
        <w:rPr>
          <w:rFonts w:ascii="Times New Roman" w:hAnsi="Times New Roman" w:cs="Times New Roman"/>
        </w:rPr>
        <w:t xml:space="preserve"> По запросу группы депутатов Государственной Думы о проверке конституционности положений статьи 30 Федерального закона «Об основных гарантиях избирательных прав и права на участие в референдуме граждан Российской Федерации» и статей 32 и 35 Федерального закона «О выборах депутатов Государственной Думы Федерального Собрания Российской Федерации»: Определение Конституционного Суда РФ от 07.07.2016 № 1358-О // [Электронный ресурс] URL: http://sudact.ru/law/opredelenie-konstitutsionnogo-suda-rf-ot-07072016-n/ (дата обращения 11.11.2018).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93E" w:rsidRDefault="008D793E" w:rsidP="00991504">
      <w:pPr>
        <w:spacing w:after="0" w:line="240" w:lineRule="auto"/>
      </w:pPr>
      <w:r>
        <w:separator/>
      </w:r>
    </w:p>
  </w:footnote>
  <w:footnote w:type="continuationSeparator" w:id="0">
    <w:p w:rsidR="008D793E" w:rsidRDefault="008D793E" w:rsidP="00991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96FB9"/>
    <w:multiLevelType w:val="hybridMultilevel"/>
    <w:tmpl w:val="97064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EF1DF8"/>
    <w:multiLevelType w:val="hybridMultilevel"/>
    <w:tmpl w:val="C50CF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AB581E"/>
    <w:multiLevelType w:val="hybridMultilevel"/>
    <w:tmpl w:val="16FAF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6232E6"/>
    <w:multiLevelType w:val="hybridMultilevel"/>
    <w:tmpl w:val="3238D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30"/>
    <w:rsid w:val="00013ABB"/>
    <w:rsid w:val="00014EC7"/>
    <w:rsid w:val="0002723B"/>
    <w:rsid w:val="00042C5F"/>
    <w:rsid w:val="00053814"/>
    <w:rsid w:val="000579E3"/>
    <w:rsid w:val="000662E6"/>
    <w:rsid w:val="00066998"/>
    <w:rsid w:val="000674C7"/>
    <w:rsid w:val="00067A7D"/>
    <w:rsid w:val="00081E63"/>
    <w:rsid w:val="00082495"/>
    <w:rsid w:val="00084431"/>
    <w:rsid w:val="00086FCE"/>
    <w:rsid w:val="00091DE7"/>
    <w:rsid w:val="000A0C8C"/>
    <w:rsid w:val="000A173C"/>
    <w:rsid w:val="000C20A6"/>
    <w:rsid w:val="000C2A1C"/>
    <w:rsid w:val="000C6A6D"/>
    <w:rsid w:val="000E72A1"/>
    <w:rsid w:val="000E72D7"/>
    <w:rsid w:val="000F23CA"/>
    <w:rsid w:val="0010738F"/>
    <w:rsid w:val="00125087"/>
    <w:rsid w:val="00133419"/>
    <w:rsid w:val="00136093"/>
    <w:rsid w:val="00140664"/>
    <w:rsid w:val="00142293"/>
    <w:rsid w:val="00150503"/>
    <w:rsid w:val="00160180"/>
    <w:rsid w:val="00163F69"/>
    <w:rsid w:val="001664C6"/>
    <w:rsid w:val="00175949"/>
    <w:rsid w:val="00181892"/>
    <w:rsid w:val="00192AF6"/>
    <w:rsid w:val="001A2823"/>
    <w:rsid w:val="001A2FEF"/>
    <w:rsid w:val="001A5EB2"/>
    <w:rsid w:val="001C3BF2"/>
    <w:rsid w:val="001C70AB"/>
    <w:rsid w:val="001E7F52"/>
    <w:rsid w:val="001E7FBE"/>
    <w:rsid w:val="001F247B"/>
    <w:rsid w:val="001F35D9"/>
    <w:rsid w:val="00206B7E"/>
    <w:rsid w:val="00210160"/>
    <w:rsid w:val="002176FB"/>
    <w:rsid w:val="0023177E"/>
    <w:rsid w:val="00237D1B"/>
    <w:rsid w:val="0024777C"/>
    <w:rsid w:val="00250D22"/>
    <w:rsid w:val="0025308E"/>
    <w:rsid w:val="00267A6F"/>
    <w:rsid w:val="00267F74"/>
    <w:rsid w:val="002704D0"/>
    <w:rsid w:val="00273ED7"/>
    <w:rsid w:val="00295E83"/>
    <w:rsid w:val="002A243F"/>
    <w:rsid w:val="002A26D3"/>
    <w:rsid w:val="002B4132"/>
    <w:rsid w:val="002C4484"/>
    <w:rsid w:val="002D47E1"/>
    <w:rsid w:val="002F5F81"/>
    <w:rsid w:val="002F5FDF"/>
    <w:rsid w:val="002F7C7D"/>
    <w:rsid w:val="003072A0"/>
    <w:rsid w:val="003116E6"/>
    <w:rsid w:val="0031235D"/>
    <w:rsid w:val="00335AFD"/>
    <w:rsid w:val="00345C97"/>
    <w:rsid w:val="00353944"/>
    <w:rsid w:val="00377DCC"/>
    <w:rsid w:val="00382908"/>
    <w:rsid w:val="0039136B"/>
    <w:rsid w:val="003948A0"/>
    <w:rsid w:val="00394D14"/>
    <w:rsid w:val="003B42C6"/>
    <w:rsid w:val="003C2AB6"/>
    <w:rsid w:val="003C39E2"/>
    <w:rsid w:val="003C3BE7"/>
    <w:rsid w:val="003C5130"/>
    <w:rsid w:val="003D45B6"/>
    <w:rsid w:val="00400150"/>
    <w:rsid w:val="00402975"/>
    <w:rsid w:val="00414BB7"/>
    <w:rsid w:val="00423859"/>
    <w:rsid w:val="00443A59"/>
    <w:rsid w:val="00444C70"/>
    <w:rsid w:val="00460550"/>
    <w:rsid w:val="0046712C"/>
    <w:rsid w:val="00471410"/>
    <w:rsid w:val="00472100"/>
    <w:rsid w:val="00480389"/>
    <w:rsid w:val="00481643"/>
    <w:rsid w:val="0048447E"/>
    <w:rsid w:val="004861A8"/>
    <w:rsid w:val="00490AE6"/>
    <w:rsid w:val="004938E8"/>
    <w:rsid w:val="00493DD6"/>
    <w:rsid w:val="004A167C"/>
    <w:rsid w:val="004C619E"/>
    <w:rsid w:val="004E40F8"/>
    <w:rsid w:val="004F7ED2"/>
    <w:rsid w:val="00522AE9"/>
    <w:rsid w:val="00527EDA"/>
    <w:rsid w:val="00536B48"/>
    <w:rsid w:val="00540A86"/>
    <w:rsid w:val="00544915"/>
    <w:rsid w:val="005451EF"/>
    <w:rsid w:val="005477F9"/>
    <w:rsid w:val="005533F0"/>
    <w:rsid w:val="00555D11"/>
    <w:rsid w:val="005566A8"/>
    <w:rsid w:val="005712D5"/>
    <w:rsid w:val="00577915"/>
    <w:rsid w:val="005945DD"/>
    <w:rsid w:val="005A585C"/>
    <w:rsid w:val="005A60C5"/>
    <w:rsid w:val="005A78A6"/>
    <w:rsid w:val="005B4F43"/>
    <w:rsid w:val="005B5A99"/>
    <w:rsid w:val="005D7C38"/>
    <w:rsid w:val="005F0A1A"/>
    <w:rsid w:val="005F28F4"/>
    <w:rsid w:val="00604823"/>
    <w:rsid w:val="00606FCB"/>
    <w:rsid w:val="00610F86"/>
    <w:rsid w:val="00621810"/>
    <w:rsid w:val="00632748"/>
    <w:rsid w:val="00637B86"/>
    <w:rsid w:val="00645E19"/>
    <w:rsid w:val="00654289"/>
    <w:rsid w:val="00687CF4"/>
    <w:rsid w:val="00695C55"/>
    <w:rsid w:val="006972C6"/>
    <w:rsid w:val="006B282F"/>
    <w:rsid w:val="006B4140"/>
    <w:rsid w:val="006C4F38"/>
    <w:rsid w:val="006C622D"/>
    <w:rsid w:val="006D62B4"/>
    <w:rsid w:val="006D6991"/>
    <w:rsid w:val="006E40E2"/>
    <w:rsid w:val="006F0985"/>
    <w:rsid w:val="007160B9"/>
    <w:rsid w:val="00716BEB"/>
    <w:rsid w:val="00723F0D"/>
    <w:rsid w:val="00726A0A"/>
    <w:rsid w:val="00730B6E"/>
    <w:rsid w:val="007327C6"/>
    <w:rsid w:val="007446F9"/>
    <w:rsid w:val="00745E61"/>
    <w:rsid w:val="0074726E"/>
    <w:rsid w:val="0074789C"/>
    <w:rsid w:val="00774A04"/>
    <w:rsid w:val="007C7CEF"/>
    <w:rsid w:val="007D2939"/>
    <w:rsid w:val="007E4BC9"/>
    <w:rsid w:val="007F30BE"/>
    <w:rsid w:val="007F5676"/>
    <w:rsid w:val="00802DC6"/>
    <w:rsid w:val="008135FE"/>
    <w:rsid w:val="00823219"/>
    <w:rsid w:val="008264E2"/>
    <w:rsid w:val="008307B6"/>
    <w:rsid w:val="0086462B"/>
    <w:rsid w:val="0087027D"/>
    <w:rsid w:val="0087140F"/>
    <w:rsid w:val="0087256A"/>
    <w:rsid w:val="00884713"/>
    <w:rsid w:val="008D25A0"/>
    <w:rsid w:val="008D63C3"/>
    <w:rsid w:val="008D793E"/>
    <w:rsid w:val="008E294D"/>
    <w:rsid w:val="008F3C17"/>
    <w:rsid w:val="00904BA2"/>
    <w:rsid w:val="00906968"/>
    <w:rsid w:val="00913389"/>
    <w:rsid w:val="009229A8"/>
    <w:rsid w:val="009306C7"/>
    <w:rsid w:val="00943D33"/>
    <w:rsid w:val="00950390"/>
    <w:rsid w:val="0096309F"/>
    <w:rsid w:val="0097483C"/>
    <w:rsid w:val="0098103C"/>
    <w:rsid w:val="00987087"/>
    <w:rsid w:val="00991504"/>
    <w:rsid w:val="009D561A"/>
    <w:rsid w:val="009E4579"/>
    <w:rsid w:val="009F7A1F"/>
    <w:rsid w:val="00A00567"/>
    <w:rsid w:val="00A14D27"/>
    <w:rsid w:val="00A27E2B"/>
    <w:rsid w:val="00A417BD"/>
    <w:rsid w:val="00A51081"/>
    <w:rsid w:val="00A53572"/>
    <w:rsid w:val="00A60ECE"/>
    <w:rsid w:val="00A6274C"/>
    <w:rsid w:val="00A63E4E"/>
    <w:rsid w:val="00A65740"/>
    <w:rsid w:val="00A95E8D"/>
    <w:rsid w:val="00AA3909"/>
    <w:rsid w:val="00AB7D0E"/>
    <w:rsid w:val="00AF7EA1"/>
    <w:rsid w:val="00B02614"/>
    <w:rsid w:val="00B3742E"/>
    <w:rsid w:val="00B44F9A"/>
    <w:rsid w:val="00B47D0E"/>
    <w:rsid w:val="00B50D8B"/>
    <w:rsid w:val="00B52339"/>
    <w:rsid w:val="00B642F3"/>
    <w:rsid w:val="00B721EA"/>
    <w:rsid w:val="00B733F4"/>
    <w:rsid w:val="00B83C6C"/>
    <w:rsid w:val="00BC3223"/>
    <w:rsid w:val="00BC4F71"/>
    <w:rsid w:val="00BD265C"/>
    <w:rsid w:val="00BD5ED0"/>
    <w:rsid w:val="00BD7B81"/>
    <w:rsid w:val="00BE0ADE"/>
    <w:rsid w:val="00BF08AA"/>
    <w:rsid w:val="00BF3945"/>
    <w:rsid w:val="00BF60FA"/>
    <w:rsid w:val="00BF692F"/>
    <w:rsid w:val="00C00ACE"/>
    <w:rsid w:val="00C0527C"/>
    <w:rsid w:val="00C145F6"/>
    <w:rsid w:val="00C23A25"/>
    <w:rsid w:val="00C25A6B"/>
    <w:rsid w:val="00C27713"/>
    <w:rsid w:val="00C372A8"/>
    <w:rsid w:val="00C4053B"/>
    <w:rsid w:val="00C43E4F"/>
    <w:rsid w:val="00C47307"/>
    <w:rsid w:val="00C51778"/>
    <w:rsid w:val="00C80024"/>
    <w:rsid w:val="00C80830"/>
    <w:rsid w:val="00C92320"/>
    <w:rsid w:val="00CB7C72"/>
    <w:rsid w:val="00CC2E35"/>
    <w:rsid w:val="00CF5640"/>
    <w:rsid w:val="00D1054A"/>
    <w:rsid w:val="00D15DDA"/>
    <w:rsid w:val="00D54FAB"/>
    <w:rsid w:val="00D90BB9"/>
    <w:rsid w:val="00D91F70"/>
    <w:rsid w:val="00D94FAF"/>
    <w:rsid w:val="00D97079"/>
    <w:rsid w:val="00DB7505"/>
    <w:rsid w:val="00DC3AD2"/>
    <w:rsid w:val="00DD256E"/>
    <w:rsid w:val="00DE539A"/>
    <w:rsid w:val="00DE65A0"/>
    <w:rsid w:val="00E00366"/>
    <w:rsid w:val="00E00BB3"/>
    <w:rsid w:val="00E05C12"/>
    <w:rsid w:val="00E076C3"/>
    <w:rsid w:val="00E14ECC"/>
    <w:rsid w:val="00E3288D"/>
    <w:rsid w:val="00E32C78"/>
    <w:rsid w:val="00E333E7"/>
    <w:rsid w:val="00E42C4C"/>
    <w:rsid w:val="00E44045"/>
    <w:rsid w:val="00E576E1"/>
    <w:rsid w:val="00E57D68"/>
    <w:rsid w:val="00E670C1"/>
    <w:rsid w:val="00E746CB"/>
    <w:rsid w:val="00E851B4"/>
    <w:rsid w:val="00E90DB4"/>
    <w:rsid w:val="00E91605"/>
    <w:rsid w:val="00EA197D"/>
    <w:rsid w:val="00EA6755"/>
    <w:rsid w:val="00EB357C"/>
    <w:rsid w:val="00EC29C0"/>
    <w:rsid w:val="00EC4C8E"/>
    <w:rsid w:val="00EE472E"/>
    <w:rsid w:val="00EF11EE"/>
    <w:rsid w:val="00EF14B2"/>
    <w:rsid w:val="00EF4464"/>
    <w:rsid w:val="00F016BE"/>
    <w:rsid w:val="00F10291"/>
    <w:rsid w:val="00F26D44"/>
    <w:rsid w:val="00F34EBE"/>
    <w:rsid w:val="00F362B8"/>
    <w:rsid w:val="00F472A1"/>
    <w:rsid w:val="00F5272B"/>
    <w:rsid w:val="00F53ADC"/>
    <w:rsid w:val="00F571C5"/>
    <w:rsid w:val="00F67FF4"/>
    <w:rsid w:val="00F73AF9"/>
    <w:rsid w:val="00F87947"/>
    <w:rsid w:val="00F976DC"/>
    <w:rsid w:val="00FA51AE"/>
    <w:rsid w:val="00FB74B5"/>
    <w:rsid w:val="00FC35E2"/>
    <w:rsid w:val="00FE1EAF"/>
    <w:rsid w:val="00FE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505E"/>
  <w15:docId w15:val="{AD8C6E43-B217-48E3-90AB-28F6AE39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E6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991504"/>
    <w:pPr>
      <w:spacing w:after="0" w:line="240" w:lineRule="auto"/>
    </w:pPr>
    <w:rPr>
      <w:sz w:val="20"/>
      <w:szCs w:val="20"/>
    </w:rPr>
  </w:style>
  <w:style w:type="character" w:customStyle="1" w:styleId="a5">
    <w:name w:val="Текст сноски Знак"/>
    <w:basedOn w:val="a0"/>
    <w:link w:val="a4"/>
    <w:uiPriority w:val="99"/>
    <w:semiHidden/>
    <w:rsid w:val="00991504"/>
    <w:rPr>
      <w:sz w:val="20"/>
      <w:szCs w:val="20"/>
    </w:rPr>
  </w:style>
  <w:style w:type="character" w:styleId="a6">
    <w:name w:val="footnote reference"/>
    <w:basedOn w:val="a0"/>
    <w:uiPriority w:val="99"/>
    <w:semiHidden/>
    <w:unhideWhenUsed/>
    <w:rsid w:val="00991504"/>
    <w:rPr>
      <w:vertAlign w:val="superscript"/>
    </w:rPr>
  </w:style>
  <w:style w:type="character" w:styleId="a7">
    <w:name w:val="Hyperlink"/>
    <w:basedOn w:val="a0"/>
    <w:uiPriority w:val="99"/>
    <w:unhideWhenUsed/>
    <w:rsid w:val="0097483C"/>
    <w:rPr>
      <w:color w:val="0000FF" w:themeColor="hyperlink"/>
      <w:u w:val="single"/>
    </w:rPr>
  </w:style>
  <w:style w:type="paragraph" w:styleId="a8">
    <w:name w:val="List Paragraph"/>
    <w:basedOn w:val="a"/>
    <w:uiPriority w:val="34"/>
    <w:qFormat/>
    <w:rsid w:val="00BE0ADE"/>
    <w:pPr>
      <w:ind w:left="720"/>
      <w:contextualSpacing/>
    </w:pPr>
  </w:style>
  <w:style w:type="paragraph" w:styleId="a9">
    <w:name w:val="Balloon Text"/>
    <w:basedOn w:val="a"/>
    <w:link w:val="aa"/>
    <w:uiPriority w:val="99"/>
    <w:semiHidden/>
    <w:unhideWhenUsed/>
    <w:rsid w:val="004C61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19E"/>
    <w:rPr>
      <w:rFonts w:ascii="Tahoma" w:hAnsi="Tahoma" w:cs="Tahoma"/>
      <w:sz w:val="16"/>
      <w:szCs w:val="16"/>
    </w:rPr>
  </w:style>
  <w:style w:type="paragraph" w:styleId="ab">
    <w:name w:val="No Spacing"/>
    <w:uiPriority w:val="1"/>
    <w:qFormat/>
    <w:rsid w:val="00175949"/>
    <w:pPr>
      <w:spacing w:after="0" w:line="240" w:lineRule="auto"/>
    </w:pPr>
  </w:style>
  <w:style w:type="paragraph" w:styleId="ac">
    <w:name w:val="endnote text"/>
    <w:basedOn w:val="a"/>
    <w:link w:val="ad"/>
    <w:uiPriority w:val="99"/>
    <w:semiHidden/>
    <w:unhideWhenUsed/>
    <w:rsid w:val="00E90DB4"/>
    <w:pPr>
      <w:spacing w:after="0" w:line="240" w:lineRule="auto"/>
    </w:pPr>
    <w:rPr>
      <w:sz w:val="20"/>
      <w:szCs w:val="20"/>
    </w:rPr>
  </w:style>
  <w:style w:type="character" w:customStyle="1" w:styleId="ad">
    <w:name w:val="Текст концевой сноски Знак"/>
    <w:basedOn w:val="a0"/>
    <w:link w:val="ac"/>
    <w:uiPriority w:val="99"/>
    <w:semiHidden/>
    <w:rsid w:val="00E90DB4"/>
    <w:rPr>
      <w:sz w:val="20"/>
      <w:szCs w:val="20"/>
    </w:rPr>
  </w:style>
  <w:style w:type="character" w:styleId="ae">
    <w:name w:val="endnote reference"/>
    <w:basedOn w:val="a0"/>
    <w:uiPriority w:val="99"/>
    <w:semiHidden/>
    <w:unhideWhenUsed/>
    <w:rsid w:val="00E90DB4"/>
    <w:rPr>
      <w:vertAlign w:val="superscript"/>
    </w:rPr>
  </w:style>
  <w:style w:type="character" w:customStyle="1" w:styleId="10">
    <w:name w:val="Заголовок 1 Знак"/>
    <w:basedOn w:val="a0"/>
    <w:link w:val="1"/>
    <w:uiPriority w:val="9"/>
    <w:rsid w:val="00DE65A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6542">
      <w:bodyDiv w:val="1"/>
      <w:marLeft w:val="0"/>
      <w:marRight w:val="0"/>
      <w:marTop w:val="0"/>
      <w:marBottom w:val="0"/>
      <w:divBdr>
        <w:top w:val="none" w:sz="0" w:space="0" w:color="auto"/>
        <w:left w:val="none" w:sz="0" w:space="0" w:color="auto"/>
        <w:bottom w:val="none" w:sz="0" w:space="0" w:color="auto"/>
        <w:right w:val="none" w:sz="0" w:space="0" w:color="auto"/>
      </w:divBdr>
    </w:div>
    <w:div w:id="184486990">
      <w:bodyDiv w:val="1"/>
      <w:marLeft w:val="0"/>
      <w:marRight w:val="0"/>
      <w:marTop w:val="0"/>
      <w:marBottom w:val="0"/>
      <w:divBdr>
        <w:top w:val="none" w:sz="0" w:space="0" w:color="auto"/>
        <w:left w:val="none" w:sz="0" w:space="0" w:color="auto"/>
        <w:bottom w:val="none" w:sz="0" w:space="0" w:color="auto"/>
        <w:right w:val="none" w:sz="0" w:space="0" w:color="auto"/>
      </w:divBdr>
    </w:div>
    <w:div w:id="1284457725">
      <w:bodyDiv w:val="1"/>
      <w:marLeft w:val="0"/>
      <w:marRight w:val="0"/>
      <w:marTop w:val="0"/>
      <w:marBottom w:val="0"/>
      <w:divBdr>
        <w:top w:val="none" w:sz="0" w:space="0" w:color="auto"/>
        <w:left w:val="none" w:sz="0" w:space="0" w:color="auto"/>
        <w:bottom w:val="none" w:sz="0" w:space="0" w:color="auto"/>
        <w:right w:val="none" w:sz="0" w:space="0" w:color="auto"/>
      </w:divBdr>
    </w:div>
    <w:div w:id="19918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071862428679669"/>
          <c:y val="8.352546482870743E-2"/>
          <c:w val="0.87664427114074861"/>
          <c:h val="0.56179004821050094"/>
        </c:manualLayout>
      </c:layout>
      <c:lineChart>
        <c:grouping val="standard"/>
        <c:varyColors val="0"/>
        <c:ser>
          <c:idx val="0"/>
          <c:order val="0"/>
          <c:tx>
            <c:strRef>
              <c:f>Лист1!$B$1</c:f>
              <c:strCache>
                <c:ptCount val="1"/>
                <c:pt idx="0">
                  <c:v>Размер средств фонда в расчете на 1 избирателя</c:v>
                </c:pt>
              </c:strCache>
            </c:strRef>
          </c:tx>
          <c:marker>
            <c:symbol val="none"/>
          </c:marker>
          <c:cat>
            <c:strRef>
              <c:f>Лист1!$A$2:$A$23</c:f>
              <c:strCache>
                <c:ptCount val="22"/>
                <c:pt idx="0">
                  <c:v>Хабаровский край</c:v>
                </c:pt>
                <c:pt idx="1">
                  <c:v>Омская область </c:v>
                </c:pt>
                <c:pt idx="2">
                  <c:v>Алтайский край</c:v>
                </c:pt>
                <c:pt idx="3">
                  <c:v>Новосибирская область </c:v>
                </c:pt>
                <c:pt idx="4">
                  <c:v>Москва </c:v>
                </c:pt>
                <c:pt idx="5">
                  <c:v>Амурская область </c:v>
                </c:pt>
                <c:pt idx="6">
                  <c:v>Воронежская область </c:v>
                </c:pt>
                <c:pt idx="7">
                  <c:v>Нижегородская область </c:v>
                </c:pt>
                <c:pt idx="8">
                  <c:v>Московская область </c:v>
                </c:pt>
                <c:pt idx="9">
                  <c:v>Кемеровская область</c:v>
                </c:pt>
                <c:pt idx="10">
                  <c:v>Ивановская область </c:v>
                </c:pt>
                <c:pt idx="11">
                  <c:v>Республика Саха (Якутия)</c:v>
                </c:pt>
                <c:pt idx="12">
                  <c:v>Приморский край</c:v>
                </c:pt>
                <c:pt idx="13">
                  <c:v>Орловская область</c:v>
                </c:pt>
                <c:pt idx="14">
                  <c:v>Самарская область</c:v>
                </c:pt>
                <c:pt idx="15">
                  <c:v>Псковская область </c:v>
                </c:pt>
                <c:pt idx="16">
                  <c:v>Тюменская область</c:v>
                </c:pt>
                <c:pt idx="17">
                  <c:v>Республика Хакасия </c:v>
                </c:pt>
                <c:pt idx="18">
                  <c:v>Красноярский край </c:v>
                </c:pt>
                <c:pt idx="19">
                  <c:v>Чукотский АО</c:v>
                </c:pt>
                <c:pt idx="20">
                  <c:v>Владимировская область </c:v>
                </c:pt>
                <c:pt idx="21">
                  <c:v>Магаданская область</c:v>
                </c:pt>
              </c:strCache>
            </c:strRef>
          </c:cat>
          <c:val>
            <c:numRef>
              <c:f>Лист1!$B$2:$B$23</c:f>
              <c:numCache>
                <c:formatCode>General</c:formatCode>
                <c:ptCount val="22"/>
                <c:pt idx="0">
                  <c:v>20</c:v>
                </c:pt>
                <c:pt idx="1">
                  <c:v>20</c:v>
                </c:pt>
                <c:pt idx="2">
                  <c:v>22</c:v>
                </c:pt>
                <c:pt idx="3">
                  <c:v>23</c:v>
                </c:pt>
                <c:pt idx="4">
                  <c:v>35</c:v>
                </c:pt>
                <c:pt idx="5">
                  <c:v>40</c:v>
                </c:pt>
                <c:pt idx="6">
                  <c:v>50</c:v>
                </c:pt>
                <c:pt idx="7">
                  <c:v>52</c:v>
                </c:pt>
                <c:pt idx="8">
                  <c:v>53</c:v>
                </c:pt>
                <c:pt idx="9">
                  <c:v>54</c:v>
                </c:pt>
                <c:pt idx="10">
                  <c:v>62</c:v>
                </c:pt>
                <c:pt idx="11">
                  <c:v>63</c:v>
                </c:pt>
                <c:pt idx="12">
                  <c:v>69</c:v>
                </c:pt>
                <c:pt idx="13">
                  <c:v>79</c:v>
                </c:pt>
                <c:pt idx="14">
                  <c:v>83</c:v>
                </c:pt>
                <c:pt idx="15">
                  <c:v>84</c:v>
                </c:pt>
                <c:pt idx="16">
                  <c:v>92</c:v>
                </c:pt>
                <c:pt idx="17">
                  <c:v>97</c:v>
                </c:pt>
                <c:pt idx="18">
                  <c:v>98</c:v>
                </c:pt>
                <c:pt idx="19">
                  <c:v>98</c:v>
                </c:pt>
                <c:pt idx="20">
                  <c:v>140</c:v>
                </c:pt>
                <c:pt idx="21">
                  <c:v>144</c:v>
                </c:pt>
              </c:numCache>
            </c:numRef>
          </c:val>
          <c:smooth val="0"/>
          <c:extLst>
            <c:ext xmlns:c16="http://schemas.microsoft.com/office/drawing/2014/chart" uri="{C3380CC4-5D6E-409C-BE32-E72D297353CC}">
              <c16:uniqueId val="{00000000-DFCC-4D66-8AD2-3D8A9FD2D0C0}"/>
            </c:ext>
          </c:extLst>
        </c:ser>
        <c:ser>
          <c:idx val="1"/>
          <c:order val="1"/>
          <c:tx>
            <c:strRef>
              <c:f>Лист1!$C$1</c:f>
              <c:strCache>
                <c:ptCount val="1"/>
                <c:pt idx="0">
                  <c:v>КГ=67 руб.</c:v>
                </c:pt>
              </c:strCache>
            </c:strRef>
          </c:tx>
          <c:marker>
            <c:symbol val="none"/>
          </c:marker>
          <c:cat>
            <c:strRef>
              <c:f>Лист1!$A$2:$A$23</c:f>
              <c:strCache>
                <c:ptCount val="22"/>
                <c:pt idx="0">
                  <c:v>Хабаровский край</c:v>
                </c:pt>
                <c:pt idx="1">
                  <c:v>Омская область </c:v>
                </c:pt>
                <c:pt idx="2">
                  <c:v>Алтайский край</c:v>
                </c:pt>
                <c:pt idx="3">
                  <c:v>Новосибирская область </c:v>
                </c:pt>
                <c:pt idx="4">
                  <c:v>Москва </c:v>
                </c:pt>
                <c:pt idx="5">
                  <c:v>Амурская область </c:v>
                </c:pt>
                <c:pt idx="6">
                  <c:v>Воронежская область </c:v>
                </c:pt>
                <c:pt idx="7">
                  <c:v>Нижегородская область </c:v>
                </c:pt>
                <c:pt idx="8">
                  <c:v>Московская область </c:v>
                </c:pt>
                <c:pt idx="9">
                  <c:v>Кемеровская область</c:v>
                </c:pt>
                <c:pt idx="10">
                  <c:v>Ивановская область </c:v>
                </c:pt>
                <c:pt idx="11">
                  <c:v>Республика Саха (Якутия)</c:v>
                </c:pt>
                <c:pt idx="12">
                  <c:v>Приморский край</c:v>
                </c:pt>
                <c:pt idx="13">
                  <c:v>Орловская область</c:v>
                </c:pt>
                <c:pt idx="14">
                  <c:v>Самарская область</c:v>
                </c:pt>
                <c:pt idx="15">
                  <c:v>Псковская область </c:v>
                </c:pt>
                <c:pt idx="16">
                  <c:v>Тюменская область</c:v>
                </c:pt>
                <c:pt idx="17">
                  <c:v>Республика Хакасия </c:v>
                </c:pt>
                <c:pt idx="18">
                  <c:v>Красноярский край </c:v>
                </c:pt>
                <c:pt idx="19">
                  <c:v>Чукотский АО</c:v>
                </c:pt>
                <c:pt idx="20">
                  <c:v>Владимировская область </c:v>
                </c:pt>
                <c:pt idx="21">
                  <c:v>Магаданская область</c:v>
                </c:pt>
              </c:strCache>
            </c:strRef>
          </c:cat>
          <c:val>
            <c:numRef>
              <c:f>Лист1!$C$2:$C$23</c:f>
              <c:numCache>
                <c:formatCode>General</c:formatCode>
                <c:ptCount val="22"/>
                <c:pt idx="0">
                  <c:v>67</c:v>
                </c:pt>
                <c:pt idx="1">
                  <c:v>67</c:v>
                </c:pt>
                <c:pt idx="2">
                  <c:v>67</c:v>
                </c:pt>
                <c:pt idx="3">
                  <c:v>67</c:v>
                </c:pt>
                <c:pt idx="4">
                  <c:v>67</c:v>
                </c:pt>
                <c:pt idx="5">
                  <c:v>67</c:v>
                </c:pt>
                <c:pt idx="6">
                  <c:v>67</c:v>
                </c:pt>
                <c:pt idx="7">
                  <c:v>67</c:v>
                </c:pt>
                <c:pt idx="8">
                  <c:v>67</c:v>
                </c:pt>
                <c:pt idx="9">
                  <c:v>67</c:v>
                </c:pt>
                <c:pt idx="10">
                  <c:v>67</c:v>
                </c:pt>
                <c:pt idx="11">
                  <c:v>67</c:v>
                </c:pt>
                <c:pt idx="12">
                  <c:v>67</c:v>
                </c:pt>
                <c:pt idx="13">
                  <c:v>67</c:v>
                </c:pt>
                <c:pt idx="14">
                  <c:v>67</c:v>
                </c:pt>
                <c:pt idx="15">
                  <c:v>67</c:v>
                </c:pt>
                <c:pt idx="16">
                  <c:v>67</c:v>
                </c:pt>
                <c:pt idx="17">
                  <c:v>67</c:v>
                </c:pt>
                <c:pt idx="18">
                  <c:v>67</c:v>
                </c:pt>
                <c:pt idx="19">
                  <c:v>67</c:v>
                </c:pt>
                <c:pt idx="20">
                  <c:v>67</c:v>
                </c:pt>
                <c:pt idx="21">
                  <c:v>67</c:v>
                </c:pt>
              </c:numCache>
            </c:numRef>
          </c:val>
          <c:smooth val="0"/>
          <c:extLst>
            <c:ext xmlns:c16="http://schemas.microsoft.com/office/drawing/2014/chart" uri="{C3380CC4-5D6E-409C-BE32-E72D297353CC}">
              <c16:uniqueId val="{00000001-DFCC-4D66-8AD2-3D8A9FD2D0C0}"/>
            </c:ext>
          </c:extLst>
        </c:ser>
        <c:ser>
          <c:idx val="2"/>
          <c:order val="2"/>
          <c:tx>
            <c:strRef>
              <c:f>Лист1!$D$1</c:f>
              <c:strCache>
                <c:ptCount val="1"/>
                <c:pt idx="0">
                  <c:v>КП=3,67 руб.</c:v>
                </c:pt>
              </c:strCache>
            </c:strRef>
          </c:tx>
          <c:marker>
            <c:symbol val="none"/>
          </c:marker>
          <c:cat>
            <c:strRef>
              <c:f>Лист1!$A$2:$A$23</c:f>
              <c:strCache>
                <c:ptCount val="22"/>
                <c:pt idx="0">
                  <c:v>Хабаровский край</c:v>
                </c:pt>
                <c:pt idx="1">
                  <c:v>Омская область </c:v>
                </c:pt>
                <c:pt idx="2">
                  <c:v>Алтайский край</c:v>
                </c:pt>
                <c:pt idx="3">
                  <c:v>Новосибирская область </c:v>
                </c:pt>
                <c:pt idx="4">
                  <c:v>Москва </c:v>
                </c:pt>
                <c:pt idx="5">
                  <c:v>Амурская область </c:v>
                </c:pt>
                <c:pt idx="6">
                  <c:v>Воронежская область </c:v>
                </c:pt>
                <c:pt idx="7">
                  <c:v>Нижегородская область </c:v>
                </c:pt>
                <c:pt idx="8">
                  <c:v>Московская область </c:v>
                </c:pt>
                <c:pt idx="9">
                  <c:v>Кемеровская область</c:v>
                </c:pt>
                <c:pt idx="10">
                  <c:v>Ивановская область </c:v>
                </c:pt>
                <c:pt idx="11">
                  <c:v>Республика Саха (Якутия)</c:v>
                </c:pt>
                <c:pt idx="12">
                  <c:v>Приморский край</c:v>
                </c:pt>
                <c:pt idx="13">
                  <c:v>Орловская область</c:v>
                </c:pt>
                <c:pt idx="14">
                  <c:v>Самарская область</c:v>
                </c:pt>
                <c:pt idx="15">
                  <c:v>Псковская область </c:v>
                </c:pt>
                <c:pt idx="16">
                  <c:v>Тюменская область</c:v>
                </c:pt>
                <c:pt idx="17">
                  <c:v>Республика Хакасия </c:v>
                </c:pt>
                <c:pt idx="18">
                  <c:v>Красноярский край </c:v>
                </c:pt>
                <c:pt idx="19">
                  <c:v>Чукотский АО</c:v>
                </c:pt>
                <c:pt idx="20">
                  <c:v>Владимировская область </c:v>
                </c:pt>
                <c:pt idx="21">
                  <c:v>Магаданская область</c:v>
                </c:pt>
              </c:strCache>
            </c:strRef>
          </c:cat>
          <c:val>
            <c:numRef>
              <c:f>Лист1!$D$2:$D$23</c:f>
              <c:numCache>
                <c:formatCode>General</c:formatCode>
                <c:ptCount val="22"/>
                <c:pt idx="0">
                  <c:v>3.67</c:v>
                </c:pt>
                <c:pt idx="1">
                  <c:v>3.67</c:v>
                </c:pt>
                <c:pt idx="2">
                  <c:v>3.67</c:v>
                </c:pt>
                <c:pt idx="3">
                  <c:v>3.67</c:v>
                </c:pt>
                <c:pt idx="4">
                  <c:v>3.67</c:v>
                </c:pt>
                <c:pt idx="5">
                  <c:v>3.67</c:v>
                </c:pt>
                <c:pt idx="6">
                  <c:v>3.67</c:v>
                </c:pt>
                <c:pt idx="7">
                  <c:v>3.67</c:v>
                </c:pt>
                <c:pt idx="8">
                  <c:v>3.67</c:v>
                </c:pt>
                <c:pt idx="9">
                  <c:v>3.67</c:v>
                </c:pt>
                <c:pt idx="10">
                  <c:v>3.67</c:v>
                </c:pt>
                <c:pt idx="11">
                  <c:v>3.67</c:v>
                </c:pt>
                <c:pt idx="12">
                  <c:v>3.67</c:v>
                </c:pt>
                <c:pt idx="13">
                  <c:v>3.67</c:v>
                </c:pt>
                <c:pt idx="14">
                  <c:v>3.67</c:v>
                </c:pt>
                <c:pt idx="15">
                  <c:v>3.67</c:v>
                </c:pt>
                <c:pt idx="16">
                  <c:v>3.67</c:v>
                </c:pt>
                <c:pt idx="17">
                  <c:v>3.67</c:v>
                </c:pt>
                <c:pt idx="18">
                  <c:v>3.67</c:v>
                </c:pt>
                <c:pt idx="19">
                  <c:v>3.67</c:v>
                </c:pt>
                <c:pt idx="20">
                  <c:v>3.67</c:v>
                </c:pt>
                <c:pt idx="21">
                  <c:v>3.67</c:v>
                </c:pt>
              </c:numCache>
            </c:numRef>
          </c:val>
          <c:smooth val="0"/>
          <c:extLst>
            <c:ext xmlns:c16="http://schemas.microsoft.com/office/drawing/2014/chart" uri="{C3380CC4-5D6E-409C-BE32-E72D297353CC}">
              <c16:uniqueId val="{00000002-DFCC-4D66-8AD2-3D8A9FD2D0C0}"/>
            </c:ext>
          </c:extLst>
        </c:ser>
        <c:dLbls>
          <c:showLegendKey val="0"/>
          <c:showVal val="0"/>
          <c:showCatName val="0"/>
          <c:showSerName val="0"/>
          <c:showPercent val="0"/>
          <c:showBubbleSize val="0"/>
        </c:dLbls>
        <c:smooth val="0"/>
        <c:axId val="78666752"/>
        <c:axId val="40893184"/>
      </c:lineChart>
      <c:catAx>
        <c:axId val="78666752"/>
        <c:scaling>
          <c:orientation val="minMax"/>
        </c:scaling>
        <c:delete val="0"/>
        <c:axPos val="b"/>
        <c:numFmt formatCode="General" sourceLinked="0"/>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40893184"/>
        <c:crosses val="autoZero"/>
        <c:auto val="1"/>
        <c:lblAlgn val="ctr"/>
        <c:lblOffset val="100"/>
        <c:noMultiLvlLbl val="0"/>
      </c:catAx>
      <c:valAx>
        <c:axId val="40893184"/>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ru-RU"/>
          </a:p>
        </c:txPr>
        <c:crossAx val="78666752"/>
        <c:crosses val="autoZero"/>
        <c:crossBetween val="between"/>
      </c:valAx>
    </c:plotArea>
    <c:legend>
      <c:legendPos val="b"/>
      <c:legendEntry>
        <c:idx val="0"/>
        <c:txPr>
          <a:bodyPr/>
          <a:lstStyle/>
          <a:p>
            <a:pPr rtl="0">
              <a:defRPr sz="1000">
                <a:latin typeface="Times New Roman" panose="02020603050405020304" pitchFamily="18" charset="0"/>
                <a:cs typeface="Times New Roman" panose="02020603050405020304" pitchFamily="18" charset="0"/>
              </a:defRPr>
            </a:pPr>
            <a:endParaRPr lang="ru-RU"/>
          </a:p>
        </c:txPr>
      </c:legendEntry>
      <c:legendEntry>
        <c:idx val="1"/>
        <c:txPr>
          <a:bodyPr/>
          <a:lstStyle/>
          <a:p>
            <a:pPr rtl="0">
              <a:defRPr sz="1000">
                <a:latin typeface="Times New Roman" panose="02020603050405020304" pitchFamily="18" charset="0"/>
                <a:cs typeface="Times New Roman" panose="02020603050405020304" pitchFamily="18" charset="0"/>
              </a:defRPr>
            </a:pPr>
            <a:endParaRPr lang="ru-RU"/>
          </a:p>
        </c:txPr>
      </c:legendEntry>
      <c:legendEntry>
        <c:idx val="2"/>
        <c:txPr>
          <a:bodyPr/>
          <a:lstStyle/>
          <a:p>
            <a:pPr rtl="0">
              <a:defRPr sz="1000">
                <a:latin typeface="Times New Roman" panose="02020603050405020304" pitchFamily="18" charset="0"/>
                <a:cs typeface="Times New Roman" panose="02020603050405020304" pitchFamily="18" charset="0"/>
              </a:defRPr>
            </a:pPr>
            <a:endParaRPr lang="ru-RU"/>
          </a:p>
        </c:txPr>
      </c:legendEntry>
      <c:layout>
        <c:manualLayout>
          <c:xMode val="edge"/>
          <c:yMode val="edge"/>
          <c:x val="0"/>
          <c:y val="0.91545195923357248"/>
          <c:w val="0.99827370908993518"/>
          <c:h val="8.2440222209640257E-2"/>
        </c:manualLayout>
      </c:layout>
      <c:overlay val="0"/>
      <c:txPr>
        <a:bodyPr/>
        <a:lstStyle/>
        <a:p>
          <a:pPr rtl="0">
            <a:defRPr sz="10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6E40-9E35-4193-A35B-1C917A86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14359</Characters>
  <Application>Microsoft Office Word</Application>
  <DocSecurity>0</DocSecurity>
  <Lines>398</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2</cp:revision>
  <cp:lastPrinted>2018-11-25T17:14:00Z</cp:lastPrinted>
  <dcterms:created xsi:type="dcterms:W3CDTF">2019-05-07T14:03:00Z</dcterms:created>
  <dcterms:modified xsi:type="dcterms:W3CDTF">2019-05-07T14:03:00Z</dcterms:modified>
</cp:coreProperties>
</file>