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4BC3" w14:textId="77777777" w:rsidR="00B6179E" w:rsidRPr="00EF7F00" w:rsidRDefault="00B6179E" w:rsidP="0085093B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7F00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Pr="00EF7F00">
        <w:rPr>
          <w:rFonts w:ascii="Times New Roman" w:eastAsia="Times New Roman" w:hAnsi="Times New Roman" w:cs="Times New Roman"/>
          <w:sz w:val="28"/>
          <w:szCs w:val="28"/>
        </w:rPr>
        <w:t>Гнедаш</w:t>
      </w:r>
      <w:proofErr w:type="spellEnd"/>
      <w:r w:rsidRPr="00EF7F00">
        <w:rPr>
          <w:rFonts w:ascii="Times New Roman" w:eastAsia="Times New Roman" w:hAnsi="Times New Roman" w:cs="Times New Roman"/>
          <w:sz w:val="28"/>
          <w:szCs w:val="28"/>
        </w:rPr>
        <w:t xml:space="preserve"> (Краснодар)</w:t>
      </w:r>
    </w:p>
    <w:p w14:paraId="77ED52BA" w14:textId="77777777" w:rsidR="00B6179E" w:rsidRPr="0085093B" w:rsidRDefault="00B6179E" w:rsidP="008509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8B9012" w14:textId="77777777" w:rsidR="00B6179E" w:rsidRPr="00EF7F00" w:rsidRDefault="00B6179E" w:rsidP="008509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00">
        <w:rPr>
          <w:rFonts w:ascii="Times New Roman" w:hAnsi="Times New Roman" w:cs="Times New Roman"/>
          <w:b/>
          <w:sz w:val="28"/>
          <w:szCs w:val="28"/>
        </w:rPr>
        <w:t>Сетевые ресурсы развития семейной политики в странах Европы</w:t>
      </w:r>
    </w:p>
    <w:p w14:paraId="1322EEF7" w14:textId="77777777" w:rsidR="00B6179E" w:rsidRPr="0085093B" w:rsidRDefault="00B6179E" w:rsidP="008509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3626D6" w14:textId="77777777" w:rsidR="0085093B" w:rsidRPr="0085093B" w:rsidRDefault="0085093B" w:rsidP="008509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93B">
        <w:rPr>
          <w:rFonts w:ascii="Times New Roman" w:hAnsi="Times New Roman" w:cs="Times New Roman"/>
          <w:sz w:val="28"/>
          <w:szCs w:val="28"/>
        </w:rPr>
        <w:t xml:space="preserve">В современное время в условиях развития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постинформационного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общества особое значение приобретают акторы семейной политики, функционирующие в форме сетевых конструктов (социальные сети, сетевые сообщества), которые могут мотивировать социальные улучшения и решать различные проблемы в изучаемой сфере государственной политики. Отметим сразу, что из всех европейских стран только во Франции имеется достаточно высокоорганизованное лобби из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институциолизированных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социальных сетей в виде неправительственных организаций в сфере семейной политики (например,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nationale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associations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familiales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>), которые хорошо известны в публичной политике по вопросам представления интересов семей, регулярно работают совместно с французским правительством в процессе разработки и реализации вопросов государственной семейной политики. Такой тандем акторов гражданского общества и французских властных структур не является уникальным именно для семе</w:t>
      </w:r>
      <w:r w:rsidR="000C35C1">
        <w:rPr>
          <w:rFonts w:ascii="Times New Roman" w:hAnsi="Times New Roman" w:cs="Times New Roman"/>
          <w:sz w:val="28"/>
          <w:szCs w:val="28"/>
        </w:rPr>
        <w:t>йной политики.</w:t>
      </w:r>
      <w:r w:rsidRPr="0085093B">
        <w:rPr>
          <w:rFonts w:ascii="Times New Roman" w:hAnsi="Times New Roman" w:cs="Times New Roman"/>
          <w:sz w:val="28"/>
          <w:szCs w:val="28"/>
        </w:rPr>
        <w:t xml:space="preserve"> Основным прогрессивным и новаторским элементом в вопросах семьи являются женские сетевые структуры и женское движение во Франции, все остальные сетевые сообщества продвигают традиционную семейную политику. Особняком в решении вопросов</w:t>
      </w:r>
      <w:bookmarkStart w:id="0" w:name="_GoBack"/>
      <w:bookmarkEnd w:id="0"/>
      <w:r w:rsidRPr="0085093B">
        <w:rPr>
          <w:rFonts w:ascii="Times New Roman" w:hAnsi="Times New Roman" w:cs="Times New Roman"/>
          <w:sz w:val="28"/>
          <w:szCs w:val="28"/>
        </w:rPr>
        <w:t xml:space="preserve"> семейной политики стоят религиозные организации, они, зачастую, конкурируют с третьим сектором в принятии решений по вопросам семейной политики (</w:t>
      </w:r>
      <w:r w:rsidRPr="0085093B">
        <w:rPr>
          <w:rFonts w:ascii="Times New Roman" w:hAnsi="Times New Roman" w:cs="Times New Roman"/>
          <w:sz w:val="28"/>
          <w:szCs w:val="28"/>
          <w:lang w:val="en-US"/>
        </w:rPr>
        <w:t>Family Policy in Council of Europe member states</w:t>
      </w:r>
      <w:r w:rsidR="000C35C1">
        <w:rPr>
          <w:rFonts w:ascii="Times New Roman" w:hAnsi="Times New Roman" w:cs="Times New Roman"/>
          <w:sz w:val="28"/>
          <w:szCs w:val="28"/>
          <w:lang w:val="en-US"/>
        </w:rPr>
        <w:t>, 2009</w:t>
      </w:r>
      <w:r w:rsidRPr="0085093B">
        <w:rPr>
          <w:rFonts w:ascii="Times New Roman" w:hAnsi="Times New Roman" w:cs="Times New Roman"/>
          <w:sz w:val="28"/>
          <w:szCs w:val="28"/>
        </w:rPr>
        <w:t>).</w:t>
      </w:r>
    </w:p>
    <w:p w14:paraId="3E7CC6EB" w14:textId="77777777" w:rsidR="0085093B" w:rsidRPr="0085093B" w:rsidRDefault="0085093B" w:rsidP="008509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Ирландия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, возможно,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ближе всего к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Франции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с точки зрения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тесной взаимосвязи между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государственным и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гражданским секторами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общества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>, о чем свидетельствует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 xml:space="preserve"> совместное частичное финансовое обеспечение деятельности социальных сетей. В отличие от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Франции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однако,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католическая церковь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по-прежнему остается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наиболее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влиятельной из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eastAsia="Times New Roman" w:hAnsi="Times New Roman" w:cs="Times New Roman"/>
          <w:sz w:val="28"/>
          <w:szCs w:val="28"/>
        </w:rPr>
        <w:t>институциолизированных</w:t>
      </w:r>
      <w:proofErr w:type="spellEnd"/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гражданского общества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, в частности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lastRenderedPageBreak/>
        <w:t>потому, что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церковь и государство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были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сильно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переплетены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исторически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хотя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эти взаимосвязи позволяют другим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организациям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активное участие в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</w:rPr>
        <w:t>семейной политики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 xml:space="preserve">. Наиболее важную роль социальные сети играют в практических формах поддержки семьи: финансирование, работа и управление школами, детскими садами, социальными центрами дневного пребывания и больницами. Активное внедрение социальных сетей в работу и политику функционирования данных учреждений осуществляется за счет распространенной в Ирландии политики субсидиарной ответственности государства и третьего сектора гражданского общества, которая также </w:t>
      </w:r>
      <w:r w:rsidRPr="0085093B">
        <w:rPr>
          <w:rFonts w:ascii="Times New Roman" w:hAnsi="Times New Roman" w:cs="Times New Roman"/>
          <w:sz w:val="28"/>
          <w:szCs w:val="28"/>
        </w:rPr>
        <w:t>определяет примат организаций гражданского общества в сфере социальных услуг, в том числе и услуг в семейной сфере (</w:t>
      </w:r>
      <w:r w:rsidRPr="0085093B">
        <w:rPr>
          <w:rFonts w:ascii="Times New Roman" w:hAnsi="Times New Roman" w:cs="Times New Roman"/>
          <w:sz w:val="28"/>
          <w:szCs w:val="28"/>
          <w:lang w:val="en-US"/>
        </w:rPr>
        <w:t>Critical Review on Research on Families and Family Policies in Europe</w:t>
      </w:r>
      <w:r w:rsidR="000C35C1">
        <w:rPr>
          <w:rFonts w:ascii="Times New Roman" w:hAnsi="Times New Roman" w:cs="Times New Roman"/>
          <w:sz w:val="28"/>
          <w:szCs w:val="28"/>
          <w:lang w:val="en-US"/>
        </w:rPr>
        <w:t>, 2010</w:t>
      </w:r>
      <w:r w:rsidRPr="0085093B">
        <w:rPr>
          <w:rFonts w:ascii="Times New Roman" w:hAnsi="Times New Roman" w:cs="Times New Roman"/>
          <w:sz w:val="28"/>
          <w:szCs w:val="28"/>
        </w:rPr>
        <w:t>) .</w:t>
      </w:r>
    </w:p>
    <w:p w14:paraId="53E803C8" w14:textId="77777777" w:rsidR="0085093B" w:rsidRPr="0085093B" w:rsidRDefault="0085093B" w:rsidP="0085093B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93B">
        <w:rPr>
          <w:rFonts w:ascii="Times New Roman" w:hAnsi="Times New Roman" w:cs="Times New Roman"/>
          <w:sz w:val="28"/>
          <w:szCs w:val="28"/>
        </w:rPr>
        <w:t xml:space="preserve"> Роль социальных сетей в сфере семейной политики в Великобритании невысока, в первую очередь из-за отсутствия согласованной политики в отношении семьи на национальном уровне, поэтому особое значение британские социальные сети имеют в вопросах предоставления социальных услуг и решения конкретных проблем для отдельных лиц и семей. В условиях вакуума государственной семейной политики, социальные сети традиционно стали решать кризисные вопросы в сфере семьи на локальном уровне и для конкретных адресатов – одиноких родителей, детской бедности и т.д. Начиная с 1997 г. с приходом к власти лейбористов, отношения между правительством и сетевыми сообществами усилились: такие организации как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(FPSC) и 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Cruelty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(NSPCC) стали активными консультантами в вопросах предоставления информации и оказания практической помощи властным институтам, а также и определенным каналом лоббирования интересов британских семей. Таким образом, можно сделать вывод, что британские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институциолизированные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социальные сети выполняют роли посредников между правительством и семьей (</w:t>
      </w:r>
      <w:r w:rsidRPr="0085093B">
        <w:rPr>
          <w:rFonts w:ascii="Times New Roman" w:hAnsi="Times New Roman" w:cs="Times New Roman"/>
          <w:sz w:val="28"/>
          <w:szCs w:val="28"/>
          <w:lang w:val="en-US"/>
        </w:rPr>
        <w:t>Major Trends of State Family Policies in Europe</w:t>
      </w:r>
      <w:r w:rsidR="000C35C1">
        <w:rPr>
          <w:rFonts w:ascii="Times New Roman" w:hAnsi="Times New Roman" w:cs="Times New Roman"/>
          <w:sz w:val="28"/>
          <w:szCs w:val="28"/>
          <w:lang w:val="en-US"/>
        </w:rPr>
        <w:t>, 2010</w:t>
      </w:r>
      <w:r w:rsidRPr="0085093B">
        <w:rPr>
          <w:rFonts w:ascii="Times New Roman" w:hAnsi="Times New Roman" w:cs="Times New Roman"/>
          <w:sz w:val="28"/>
          <w:szCs w:val="28"/>
        </w:rPr>
        <w:t>).</w:t>
      </w:r>
    </w:p>
    <w:p w14:paraId="06E5E467" w14:textId="77777777" w:rsidR="0085093B" w:rsidRPr="0085093B" w:rsidRDefault="0085093B" w:rsidP="008509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93B">
        <w:rPr>
          <w:rFonts w:ascii="Times New Roman" w:hAnsi="Times New Roman" w:cs="Times New Roman"/>
          <w:sz w:val="28"/>
          <w:szCs w:val="28"/>
        </w:rPr>
        <w:lastRenderedPageBreak/>
        <w:t xml:space="preserve">Фокусом действия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институциолизированных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социальных сетей в Швеции являются не семьи, а различные социально-демографические группы: пожилые граждане, дети, женщины. Именно в отношении решения проблем этих адресатов прилагаются все усилия, роль же третьего сектора в отношении решения вопросов семейной политики определенно ограничена вследствие культурных и исторических факторов. Конечно, вопросы семейной политики тоже находят свое решение, но через действия лобби женских организаций или лобби организаций пожилых людей (</w:t>
      </w:r>
      <w:r w:rsidRPr="0085093B">
        <w:rPr>
          <w:rFonts w:ascii="Times New Roman" w:hAnsi="Times New Roman" w:cs="Times New Roman"/>
          <w:sz w:val="28"/>
          <w:szCs w:val="28"/>
          <w:lang w:val="en-US"/>
        </w:rPr>
        <w:t>Welfare States, Family Policies, and Fertility in Europe</w:t>
      </w:r>
      <w:r w:rsidR="000C35C1">
        <w:rPr>
          <w:rFonts w:ascii="Times New Roman" w:hAnsi="Times New Roman" w:cs="Times New Roman"/>
          <w:sz w:val="28"/>
          <w:szCs w:val="28"/>
          <w:lang w:val="en-US"/>
        </w:rPr>
        <w:t>, 2012</w:t>
      </w:r>
      <w:r w:rsidRPr="0085093B">
        <w:rPr>
          <w:rFonts w:ascii="Times New Roman" w:hAnsi="Times New Roman" w:cs="Times New Roman"/>
          <w:sz w:val="28"/>
          <w:szCs w:val="28"/>
        </w:rPr>
        <w:t>).</w:t>
      </w:r>
    </w:p>
    <w:p w14:paraId="3C78079A" w14:textId="77777777" w:rsidR="0085093B" w:rsidRPr="0085093B" w:rsidRDefault="0085093B" w:rsidP="008509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93B">
        <w:rPr>
          <w:rFonts w:ascii="Times New Roman" w:hAnsi="Times New Roman" w:cs="Times New Roman"/>
          <w:sz w:val="28"/>
          <w:szCs w:val="28"/>
        </w:rPr>
        <w:t xml:space="preserve">В Италии и Испании социальные сети концентрируют свои усилия на решении проблем конкретных типов семей, в результате чего сетевые структуры часто оказываются в конфликте с католическим лобби, которое фокусирует свои силы на решении проблем традиционных типов семей. Таким образом, религиозные организации в данных странах играют важную роль в партнерстве с государством процессе реализации семейной политики, в то время как большинство социальных организаций имеют ограниченные возможности влияния на политику из-за нехватки финансирования, ресурсов и общественного признания. Безусловно, такие социальные сети являются важным поставщиком услуг для семей, но они помогают тем семьям, которые выпадают из спектра традиционной государственной семейной политики. В Испании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институциолизированные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социальные сети (например,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Associations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Separated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Divorced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Responsibilities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>) вступают в дискуссии с государством через Государственный департамент равенства (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Party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Secretary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Equality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>) (</w:t>
      </w:r>
      <w:r w:rsidRPr="0085093B"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  <w:t>Family Policy and Welfare State in Southern Europe</w:t>
      </w:r>
      <w:r w:rsidR="000C35C1"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  <w:t>, 2012</w:t>
      </w:r>
      <w:r w:rsidRPr="0085093B">
        <w:rPr>
          <w:rFonts w:ascii="Times New Roman" w:hAnsi="Times New Roman" w:cs="Times New Roman"/>
          <w:sz w:val="28"/>
          <w:szCs w:val="28"/>
        </w:rPr>
        <w:t>).</w:t>
      </w:r>
    </w:p>
    <w:p w14:paraId="63C88406" w14:textId="77777777" w:rsidR="00B6179E" w:rsidRPr="0085093B" w:rsidRDefault="0085093B" w:rsidP="008509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93B">
        <w:rPr>
          <w:rFonts w:ascii="Times New Roman" w:hAnsi="Times New Roman" w:cs="Times New Roman"/>
          <w:sz w:val="28"/>
          <w:szCs w:val="28"/>
        </w:rPr>
        <w:t xml:space="preserve">Таким образом, мы видим, что во Франции (в меньшей степени в Ирландии и Великобритании) социальные сети играют важную роль в партнерстве с государством в выработке и реализации семейной политики. В таких странах как Испания, Греция, Италия социальные сети играют незначительную роль за исключением </w:t>
      </w:r>
      <w:proofErr w:type="spellStart"/>
      <w:r w:rsidRPr="0085093B">
        <w:rPr>
          <w:rFonts w:ascii="Times New Roman" w:hAnsi="Times New Roman" w:cs="Times New Roman"/>
          <w:sz w:val="28"/>
          <w:szCs w:val="28"/>
        </w:rPr>
        <w:t>институциолизированных</w:t>
      </w:r>
      <w:proofErr w:type="spellEnd"/>
      <w:r w:rsidRPr="0085093B">
        <w:rPr>
          <w:rFonts w:ascii="Times New Roman" w:hAnsi="Times New Roman" w:cs="Times New Roman"/>
          <w:sz w:val="28"/>
          <w:szCs w:val="28"/>
        </w:rPr>
        <w:t xml:space="preserve"> религиозных </w:t>
      </w:r>
      <w:r w:rsidRPr="0085093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организаций. В Швеции социальные сети выполняют еще и роль каналов для лоббирования. Все различия в степени влияния социальных сетей на семейную политику можно объяснить </w:t>
      </w:r>
      <w:r w:rsidRPr="0085093B">
        <w:rPr>
          <w:rFonts w:ascii="Times New Roman" w:eastAsia="Times New Roman" w:hAnsi="Times New Roman" w:cs="Times New Roman"/>
          <w:sz w:val="28"/>
          <w:szCs w:val="28"/>
        </w:rPr>
        <w:t>историческим развитием третьего сектора по отношению к государству, финансовым обеспечением, политической организаций власти и влиянием религиозных организаций в формировании и реализации семейной политики.</w:t>
      </w:r>
    </w:p>
    <w:p w14:paraId="1E7DB54B" w14:textId="77777777" w:rsidR="00B6179E" w:rsidRPr="0085093B" w:rsidRDefault="00B6179E" w:rsidP="008509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A0D34A" w14:textId="77777777" w:rsidR="00B6179E" w:rsidRPr="0085093B" w:rsidRDefault="00B6179E" w:rsidP="008509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93B">
        <w:rPr>
          <w:rFonts w:ascii="Times New Roman" w:hAnsi="Times New Roman" w:cs="Times New Roman"/>
          <w:sz w:val="28"/>
          <w:szCs w:val="28"/>
        </w:rPr>
        <w:t>Работа выполнена при финансовой поддержке Российского гуманитарного научного фонда в рамках проекта «</w:t>
      </w:r>
      <w:r w:rsidRPr="0085093B">
        <w:rPr>
          <w:rFonts w:ascii="Times New Roman" w:hAnsi="Times New Roman" w:cs="Times New Roman"/>
          <w:bCs/>
          <w:sz w:val="28"/>
          <w:szCs w:val="28"/>
        </w:rPr>
        <w:t>Сетевые ресурсы развития локальной политики в условиях новой политической реальности</w:t>
      </w:r>
      <w:r w:rsidRPr="0085093B">
        <w:rPr>
          <w:rFonts w:ascii="Times New Roman" w:hAnsi="Times New Roman" w:cs="Times New Roman"/>
          <w:sz w:val="28"/>
          <w:szCs w:val="28"/>
        </w:rPr>
        <w:t xml:space="preserve">» (№ </w:t>
      </w:r>
      <w:r w:rsidRPr="0085093B">
        <w:rPr>
          <w:rStyle w:val="mrk"/>
          <w:rFonts w:ascii="Times New Roman" w:hAnsi="Times New Roman" w:cs="Times New Roman"/>
          <w:sz w:val="28"/>
          <w:szCs w:val="28"/>
        </w:rPr>
        <w:t>15-33-01313, 2015-2017 гг.).</w:t>
      </w:r>
    </w:p>
    <w:p w14:paraId="4FD69DF1" w14:textId="77777777" w:rsidR="00CC620E" w:rsidRDefault="00CC620E" w:rsidP="0085093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775FB24" w14:textId="77777777" w:rsidR="0085093B" w:rsidRPr="00EF7F00" w:rsidRDefault="0085093B" w:rsidP="008509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F7F00">
        <w:rPr>
          <w:rFonts w:ascii="Times New Roman" w:hAnsi="Times New Roman" w:cs="Times New Roman"/>
          <w:b/>
          <w:sz w:val="28"/>
          <w:szCs w:val="28"/>
          <w:lang w:val="en-US"/>
        </w:rPr>
        <w:t>Список</w:t>
      </w:r>
      <w:proofErr w:type="spellEnd"/>
      <w:r w:rsidRPr="00EF7F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7F00">
        <w:rPr>
          <w:rFonts w:ascii="Times New Roman" w:hAnsi="Times New Roman" w:cs="Times New Roman"/>
          <w:b/>
          <w:sz w:val="28"/>
          <w:szCs w:val="28"/>
          <w:lang w:val="en-US"/>
        </w:rPr>
        <w:t>литературы</w:t>
      </w:r>
      <w:proofErr w:type="spellEnd"/>
    </w:p>
    <w:p w14:paraId="0430970F" w14:textId="77777777" w:rsidR="000C35C1" w:rsidRPr="000C35C1" w:rsidRDefault="000C35C1" w:rsidP="000C35C1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0C35C1"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Pr="000C35C1">
        <w:rPr>
          <w:rFonts w:ascii="Times New Roman" w:hAnsi="Times New Roman" w:cs="Times New Roman"/>
          <w:sz w:val="28"/>
          <w:szCs w:val="28"/>
          <w:lang w:val="en-US"/>
        </w:rPr>
        <w:t xml:space="preserve">Critical Review on Research on Families and Family Policies in Europe. 2010. URL: </w:t>
      </w:r>
      <w:r w:rsidRPr="000C35C1">
        <w:rPr>
          <w:rFonts w:ascii="Times New Roman" w:hAnsi="Times New Roman" w:cs="Times New Roman"/>
          <w:sz w:val="28"/>
          <w:szCs w:val="28"/>
          <w:lang w:val="en-US"/>
        </w:rPr>
        <w:t>http://europa.eu/epic/docs/wp2_critical_review_conference_report.pdf</w:t>
      </w:r>
    </w:p>
    <w:p w14:paraId="571FBB0B" w14:textId="77777777" w:rsidR="000C35C1" w:rsidRPr="000C35C1" w:rsidRDefault="000C35C1" w:rsidP="000C35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5C1"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  <w:t xml:space="preserve">2. Family Policy and Welfare State in Southern Europe. 2012. URL: </w:t>
      </w:r>
      <w:r w:rsidRPr="000C35C1">
        <w:rPr>
          <w:rFonts w:ascii="Times New Roman" w:eastAsia="Times New Roman" w:hAnsi="Times New Roman" w:cs="Times New Roman"/>
          <w:sz w:val="28"/>
          <w:szCs w:val="28"/>
          <w:lang w:val="en-US"/>
        </w:rPr>
        <w:t>http://www.icps.cat/archivos/WorkingPapers/WP_I_185.pdf</w:t>
      </w:r>
    </w:p>
    <w:p w14:paraId="77576F5B" w14:textId="77777777" w:rsidR="000C35C1" w:rsidRPr="000C35C1" w:rsidRDefault="000C35C1" w:rsidP="000C35C1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0C35C1">
        <w:rPr>
          <w:rFonts w:ascii="Times New Roman" w:hAnsi="Times New Roman" w:cs="Times New Roman"/>
          <w:sz w:val="28"/>
          <w:szCs w:val="28"/>
          <w:lang w:val="en-US"/>
        </w:rPr>
        <w:t xml:space="preserve">3. Family Policy in Council of Europe member states. 2009. URL: </w:t>
      </w:r>
      <w:r w:rsidRPr="000C35C1">
        <w:rPr>
          <w:rFonts w:ascii="Times New Roman" w:hAnsi="Times New Roman" w:cs="Times New Roman"/>
          <w:sz w:val="28"/>
          <w:szCs w:val="28"/>
          <w:lang w:val="en-US"/>
        </w:rPr>
        <w:t>http://www.leavenetwork.org/filead</w:t>
      </w:r>
      <w:r w:rsidRPr="000C35C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C35C1">
        <w:rPr>
          <w:rFonts w:ascii="Times New Roman" w:hAnsi="Times New Roman" w:cs="Times New Roman"/>
          <w:sz w:val="28"/>
          <w:szCs w:val="28"/>
          <w:lang w:val="en-US"/>
        </w:rPr>
        <w:t>in/Leavenetwork/Links_publications/Family_Policy_in_Council_of_Europe_member_states_en.pdf</w:t>
      </w:r>
    </w:p>
    <w:p w14:paraId="7057F882" w14:textId="77777777" w:rsidR="000C35C1" w:rsidRPr="000C35C1" w:rsidRDefault="000C35C1" w:rsidP="000C35C1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0C35C1">
        <w:rPr>
          <w:rFonts w:ascii="Times New Roman" w:hAnsi="Times New Roman" w:cs="Times New Roman"/>
          <w:sz w:val="28"/>
          <w:szCs w:val="28"/>
          <w:lang w:val="en-US"/>
        </w:rPr>
        <w:t xml:space="preserve">4. Major Trends of State Family Policies in Europe. 2010. URL: </w:t>
      </w:r>
      <w:r w:rsidRPr="000C35C1">
        <w:rPr>
          <w:rFonts w:ascii="Times New Roman" w:hAnsi="Times New Roman" w:cs="Times New Roman"/>
          <w:sz w:val="28"/>
          <w:szCs w:val="28"/>
          <w:lang w:val="en-US"/>
        </w:rPr>
        <w:t>http://www.ag-familie.de/media/agfdoc/EF3_State_Family_Policies_summary.pdf</w:t>
      </w:r>
    </w:p>
    <w:p w14:paraId="79E57634" w14:textId="77777777" w:rsidR="000C35C1" w:rsidRPr="000C35C1" w:rsidRDefault="000C35C1" w:rsidP="000C35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5C1">
        <w:rPr>
          <w:rFonts w:ascii="Times New Roman" w:hAnsi="Times New Roman" w:cs="Times New Roman"/>
          <w:sz w:val="28"/>
          <w:szCs w:val="28"/>
          <w:lang w:val="en-US"/>
        </w:rPr>
        <w:t xml:space="preserve">5. Welfare States, Family Policies, and Fertility in Europe. 2012. URL: </w:t>
      </w:r>
      <w:hyperlink r:id="rId7" w:history="1">
        <w:r w:rsidRPr="000C35C1">
          <w:rPr>
            <w:rFonts w:ascii="Times New Roman" w:hAnsi="Times New Roman" w:cs="Times New Roman"/>
            <w:sz w:val="28"/>
            <w:szCs w:val="28"/>
            <w:lang w:val="en-US"/>
          </w:rPr>
          <w:t>http://www.su.se/polopoly_fs/1.105072.1350482738!/menu/standard/file/WP_2012_10.pdf</w:t>
        </w:r>
      </w:hyperlink>
    </w:p>
    <w:p w14:paraId="72F4A724" w14:textId="77777777" w:rsidR="0085093B" w:rsidRPr="0085093B" w:rsidRDefault="0085093B" w:rsidP="00850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5093B" w:rsidRPr="0085093B" w:rsidSect="0085093B">
      <w:pgSz w:w="11900" w:h="16840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47C3B" w14:textId="77777777" w:rsidR="0085093B" w:rsidRDefault="0085093B" w:rsidP="0085093B">
      <w:r>
        <w:separator/>
      </w:r>
    </w:p>
  </w:endnote>
  <w:endnote w:type="continuationSeparator" w:id="0">
    <w:p w14:paraId="5013E76F" w14:textId="77777777" w:rsidR="0085093B" w:rsidRDefault="0085093B" w:rsidP="0085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D12D4" w14:textId="77777777" w:rsidR="0085093B" w:rsidRDefault="0085093B" w:rsidP="0085093B">
      <w:r>
        <w:separator/>
      </w:r>
    </w:p>
  </w:footnote>
  <w:footnote w:type="continuationSeparator" w:id="0">
    <w:p w14:paraId="50606D8F" w14:textId="77777777" w:rsidR="0085093B" w:rsidRDefault="0085093B" w:rsidP="0085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9E"/>
    <w:rsid w:val="000C35C1"/>
    <w:rsid w:val="007A1432"/>
    <w:rsid w:val="0085093B"/>
    <w:rsid w:val="00B6179E"/>
    <w:rsid w:val="00CC620E"/>
    <w:rsid w:val="00E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FAB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rk">
    <w:name w:val="mrk"/>
    <w:rsid w:val="00B6179E"/>
  </w:style>
  <w:style w:type="character" w:customStyle="1" w:styleId="hps">
    <w:name w:val="hps"/>
    <w:basedOn w:val="a0"/>
    <w:rsid w:val="0085093B"/>
  </w:style>
  <w:style w:type="character" w:styleId="a3">
    <w:name w:val="footnote reference"/>
    <w:aliases w:val="fr,Used by Word for Help footnote symbols"/>
    <w:basedOn w:val="a0"/>
    <w:uiPriority w:val="99"/>
    <w:unhideWhenUsed/>
    <w:rsid w:val="0085093B"/>
    <w:rPr>
      <w:vertAlign w:val="superscript"/>
    </w:rPr>
  </w:style>
  <w:style w:type="character" w:styleId="a4">
    <w:name w:val="Hyperlink"/>
    <w:basedOn w:val="a0"/>
    <w:uiPriority w:val="99"/>
    <w:unhideWhenUsed/>
    <w:rsid w:val="008509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35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rk">
    <w:name w:val="mrk"/>
    <w:rsid w:val="00B6179E"/>
  </w:style>
  <w:style w:type="character" w:customStyle="1" w:styleId="hps">
    <w:name w:val="hps"/>
    <w:basedOn w:val="a0"/>
    <w:rsid w:val="0085093B"/>
  </w:style>
  <w:style w:type="character" w:styleId="a3">
    <w:name w:val="footnote reference"/>
    <w:aliases w:val="fr,Used by Word for Help footnote symbols"/>
    <w:basedOn w:val="a0"/>
    <w:uiPriority w:val="99"/>
    <w:unhideWhenUsed/>
    <w:rsid w:val="0085093B"/>
    <w:rPr>
      <w:vertAlign w:val="superscript"/>
    </w:rPr>
  </w:style>
  <w:style w:type="character" w:styleId="a4">
    <w:name w:val="Hyperlink"/>
    <w:basedOn w:val="a0"/>
    <w:uiPriority w:val="99"/>
    <w:unhideWhenUsed/>
    <w:rsid w:val="008509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35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u.se/polopoly_fs/1.105072.1350482738!/menu/standard/file/WP_2012_10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881</Words>
  <Characters>6412</Characters>
  <Application>Microsoft Macintosh Word</Application>
  <DocSecurity>0</DocSecurity>
  <Lines>114</Lines>
  <Paragraphs>15</Paragraphs>
  <ScaleCrop>false</ScaleCrop>
  <Company>home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5</cp:revision>
  <dcterms:created xsi:type="dcterms:W3CDTF">2016-08-31T13:19:00Z</dcterms:created>
  <dcterms:modified xsi:type="dcterms:W3CDTF">2016-08-31T13:38:00Z</dcterms:modified>
</cp:coreProperties>
</file>